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EF52" w14:textId="77777777" w:rsidR="002D7A1C" w:rsidRPr="002D7A1C" w:rsidRDefault="002D7A1C" w:rsidP="00E62336">
      <w:pPr>
        <w:spacing w:after="240"/>
        <w:jc w:val="both"/>
        <w:rPr>
          <w:b/>
          <w:caps/>
          <w:sz w:val="32"/>
          <w:szCs w:val="32"/>
        </w:rPr>
      </w:pPr>
      <w:bookmarkStart w:id="0" w:name="_GoBack"/>
      <w:bookmarkEnd w:id="0"/>
      <w:r w:rsidRPr="002D7A1C">
        <w:rPr>
          <w:b/>
          <w:caps/>
          <w:sz w:val="32"/>
          <w:szCs w:val="32"/>
        </w:rPr>
        <w:t>application of the cableway then adapter forest wheeled tractors</w:t>
      </w:r>
    </w:p>
    <w:p w14:paraId="1E57F4D5" w14:textId="77777777" w:rsidR="002D7A1C" w:rsidRPr="002D7A1C" w:rsidRDefault="002D7A1C" w:rsidP="002D7A1C">
      <w:pPr>
        <w:spacing w:after="240"/>
        <w:jc w:val="both"/>
        <w:rPr>
          <w:caps/>
          <w:sz w:val="32"/>
          <w:szCs w:val="32"/>
        </w:rPr>
      </w:pPr>
      <w:r w:rsidRPr="002D7A1C">
        <w:rPr>
          <w:caps/>
          <w:sz w:val="32"/>
          <w:szCs w:val="32"/>
        </w:rPr>
        <w:t>aplikácia LANOvkovej nadstavby ako adaptéra pre lesné kolesové traktory</w:t>
      </w:r>
    </w:p>
    <w:p w14:paraId="2F585344" w14:textId="77777777" w:rsidR="002D7A1C" w:rsidRPr="00E07660" w:rsidRDefault="002D7A1C" w:rsidP="002D7A1C">
      <w:pPr>
        <w:spacing w:before="240" w:after="240"/>
        <w:rPr>
          <w:sz w:val="26"/>
          <w:szCs w:val="26"/>
          <w:vertAlign w:val="superscript"/>
        </w:rPr>
      </w:pPr>
      <w:r w:rsidRPr="00E07660">
        <w:rPr>
          <w:sz w:val="26"/>
          <w:szCs w:val="26"/>
        </w:rPr>
        <w:t>Michaela Hnilicová</w:t>
      </w:r>
      <w:r>
        <w:rPr>
          <w:sz w:val="26"/>
          <w:szCs w:val="26"/>
          <w:vertAlign w:val="superscript"/>
        </w:rPr>
        <w:t>1</w:t>
      </w:r>
      <w:r>
        <w:rPr>
          <w:sz w:val="26"/>
          <w:szCs w:val="26"/>
        </w:rPr>
        <w:t>,</w:t>
      </w:r>
      <w:r w:rsidRPr="00E07660">
        <w:rPr>
          <w:sz w:val="26"/>
          <w:szCs w:val="26"/>
        </w:rPr>
        <w:t xml:space="preserve"> Valéria Messingerová</w:t>
      </w:r>
      <w:r>
        <w:rPr>
          <w:sz w:val="26"/>
          <w:szCs w:val="26"/>
          <w:vertAlign w:val="superscript"/>
        </w:rPr>
        <w:t>2</w:t>
      </w:r>
      <w:r>
        <w:rPr>
          <w:sz w:val="26"/>
          <w:szCs w:val="26"/>
        </w:rPr>
        <w:t xml:space="preserve">, </w:t>
      </w:r>
      <w:r w:rsidRPr="00E07660">
        <w:rPr>
          <w:sz w:val="26"/>
          <w:szCs w:val="26"/>
        </w:rPr>
        <w:t>Miroslav Dado</w:t>
      </w:r>
      <w:r>
        <w:rPr>
          <w:sz w:val="26"/>
          <w:szCs w:val="26"/>
          <w:vertAlign w:val="superscript"/>
        </w:rPr>
        <w:t>3</w:t>
      </w:r>
      <w:r>
        <w:rPr>
          <w:sz w:val="26"/>
          <w:szCs w:val="26"/>
        </w:rPr>
        <w:t xml:space="preserve">, </w:t>
      </w:r>
      <w:r w:rsidRPr="00E07660">
        <w:rPr>
          <w:sz w:val="26"/>
          <w:szCs w:val="26"/>
        </w:rPr>
        <w:t>Pavel Beňo</w:t>
      </w:r>
      <w:r>
        <w:rPr>
          <w:sz w:val="26"/>
          <w:szCs w:val="26"/>
          <w:vertAlign w:val="superscript"/>
        </w:rPr>
        <w:t>1</w:t>
      </w:r>
    </w:p>
    <w:p w14:paraId="6A7F20E8" w14:textId="77777777"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2A1E4FE1" w14:textId="77777777"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67EB3E48" w14:textId="77777777"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46C13E4D" w14:textId="77777777"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Pr="00E07660">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14:paraId="7E7FEA42" w14:textId="77777777" w:rsidR="002D7A1C" w:rsidRPr="00E07660" w:rsidRDefault="002D7A1C" w:rsidP="002D7A1C">
      <w:pPr>
        <w:spacing w:before="120"/>
        <w:jc w:val="both"/>
        <w:rPr>
          <w:sz w:val="20"/>
          <w:lang w:val="en-GB"/>
        </w:rPr>
      </w:pPr>
      <w:r w:rsidRPr="00E07660">
        <w:rPr>
          <w:b/>
          <w:sz w:val="20"/>
          <w:szCs w:val="20"/>
          <w:lang w:val="en-GB"/>
        </w:rPr>
        <w:t xml:space="preserve">Key words: </w:t>
      </w:r>
      <w:r w:rsidRPr="00E07660">
        <w:rPr>
          <w:sz w:val="20"/>
          <w:lang w:val="en-GB"/>
        </w:rPr>
        <w:t>skidding, cable system, forest wheeled tractors, adapters</w:t>
      </w:r>
    </w:p>
    <w:p w14:paraId="0C4AE176" w14:textId="77777777" w:rsidR="002D7A1C" w:rsidRPr="0033249E" w:rsidRDefault="002D7A1C" w:rsidP="002D7A1C">
      <w:pPr>
        <w:spacing w:before="240"/>
        <w:jc w:val="both"/>
        <w:rPr>
          <w:sz w:val="20"/>
        </w:rPr>
      </w:pPr>
      <w:r w:rsidRPr="0009005E">
        <w:rPr>
          <w:b/>
          <w:caps/>
          <w:sz w:val="20"/>
          <w:szCs w:val="20"/>
        </w:rPr>
        <w:t>Abstrakt</w:t>
      </w:r>
      <w:r w:rsidRPr="00893663">
        <w:rPr>
          <w:b/>
          <w:caps/>
          <w:sz w:val="20"/>
          <w:szCs w:val="20"/>
        </w:rPr>
        <w:t>:</w:t>
      </w:r>
      <w:r>
        <w:rPr>
          <w:b/>
          <w:caps/>
          <w:sz w:val="20"/>
          <w:szCs w:val="20"/>
        </w:rPr>
        <w:t xml:space="preserve"> </w:t>
      </w:r>
      <w:r w:rsidRPr="00870AA2">
        <w:rPr>
          <w:sz w:val="20"/>
        </w:rPr>
        <w:t>Terénne podmienky, vysoký podiel horských lesov a zdravotný stav lesov si vyžaduje ekologicky vhodnú lesnú techniku. K najšetrnejšiemu spôsobu sústreďovania dreva patrí sústreďovanie lanovkami. Na základe potreby rozšírenia sústreďovania dreva lanovkami sa pristúpilo k návrhu nového lanového zariadenia na báze dopravno-obežného lana ako adaptéra na lesný kolesový traktor.</w:t>
      </w:r>
    </w:p>
    <w:p w14:paraId="2FB82C88" w14:textId="77777777" w:rsidR="002D7A1C" w:rsidRPr="00893663" w:rsidRDefault="002D7A1C" w:rsidP="002D7A1C">
      <w:pPr>
        <w:spacing w:before="120"/>
        <w:jc w:val="both"/>
        <w:rPr>
          <w:b/>
          <w:caps/>
          <w:sz w:val="20"/>
          <w:szCs w:val="20"/>
        </w:rPr>
      </w:pPr>
      <w:r>
        <w:rPr>
          <w:b/>
          <w:sz w:val="20"/>
          <w:szCs w:val="20"/>
        </w:rPr>
        <w:t>Kľúčové slová</w:t>
      </w:r>
      <w:r w:rsidRPr="005440CE">
        <w:rPr>
          <w:b/>
          <w:caps/>
          <w:sz w:val="20"/>
          <w:szCs w:val="20"/>
        </w:rPr>
        <w:t>:</w:t>
      </w:r>
      <w:r>
        <w:rPr>
          <w:b/>
          <w:sz w:val="20"/>
          <w:szCs w:val="20"/>
        </w:rPr>
        <w:t xml:space="preserve"> </w:t>
      </w:r>
      <w:r w:rsidRPr="00870AA2">
        <w:rPr>
          <w:sz w:val="20"/>
        </w:rPr>
        <w:t>približovanie, lanovka, lesný kolesový traktor, adaptér</w:t>
      </w:r>
    </w:p>
    <w:p w14:paraId="47912DE1" w14:textId="77777777" w:rsidR="00D82720" w:rsidRPr="00F70B52" w:rsidRDefault="00121C38" w:rsidP="00D82720">
      <w:pPr>
        <w:spacing w:before="240" w:after="120"/>
        <w:jc w:val="both"/>
        <w:rPr>
          <w:b/>
          <w:caps/>
          <w:sz w:val="28"/>
          <w:szCs w:val="28"/>
          <w:lang w:val="en-GB"/>
        </w:rPr>
      </w:pPr>
      <w:r>
        <w:rPr>
          <w:b/>
          <w:caps/>
          <w:sz w:val="28"/>
          <w:szCs w:val="28"/>
          <w:lang w:val="en-GB"/>
        </w:rPr>
        <w:t>Introduction</w:t>
      </w:r>
    </w:p>
    <w:p w14:paraId="2799EDBA" w14:textId="77777777"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p>
    <w:p w14:paraId="5741BC01" w14:textId="77777777" w:rsidR="00D82720" w:rsidRPr="00F70B52" w:rsidRDefault="00121C38" w:rsidP="00D82720">
      <w:pPr>
        <w:spacing w:before="240" w:after="120"/>
        <w:rPr>
          <w:b/>
          <w:caps/>
          <w:sz w:val="28"/>
          <w:szCs w:val="28"/>
          <w:lang w:val="en-GB"/>
        </w:rPr>
      </w:pPr>
      <w:r>
        <w:rPr>
          <w:b/>
          <w:caps/>
          <w:sz w:val="28"/>
          <w:szCs w:val="28"/>
          <w:lang w:val="en-GB"/>
        </w:rPr>
        <w:t>material and methods</w:t>
      </w:r>
    </w:p>
    <w:p w14:paraId="0FD65E7D" w14:textId="77777777"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14:paraId="2DF39902" w14:textId="77777777" w:rsidR="00D82720" w:rsidRPr="00F70B52" w:rsidRDefault="00121C38" w:rsidP="00D82720">
      <w:pPr>
        <w:spacing w:before="240" w:after="120"/>
        <w:rPr>
          <w:b/>
          <w:caps/>
          <w:sz w:val="28"/>
          <w:szCs w:val="28"/>
          <w:lang w:val="en-GB"/>
        </w:rPr>
      </w:pPr>
      <w:r>
        <w:rPr>
          <w:b/>
          <w:caps/>
          <w:sz w:val="28"/>
          <w:szCs w:val="28"/>
          <w:lang w:val="en-GB"/>
        </w:rPr>
        <w:t>results</w:t>
      </w:r>
    </w:p>
    <w:p w14:paraId="7541B305" w14:textId="77777777"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14:paraId="747DCA17" w14:textId="77777777" w:rsidR="00D82720" w:rsidRPr="00F70B52" w:rsidRDefault="00D82720" w:rsidP="00D82720">
      <w:pPr>
        <w:keepNext/>
        <w:jc w:val="both"/>
        <w:rPr>
          <w:lang w:val="en-GB"/>
        </w:rPr>
      </w:pPr>
    </w:p>
    <w:p w14:paraId="18BEB730" w14:textId="77777777" w:rsidR="00D82720" w:rsidRPr="00F70B52" w:rsidRDefault="00D82720" w:rsidP="00D82720">
      <w:pPr>
        <w:jc w:val="center"/>
        <w:rPr>
          <w:lang w:val="en-GB"/>
        </w:rPr>
      </w:pPr>
      <w:r w:rsidRPr="00F70B52">
        <w:rPr>
          <w:noProof/>
        </w:rPr>
        <w:drawing>
          <wp:inline distT="0" distB="0" distL="0" distR="0" wp14:anchorId="7B334BF2" wp14:editId="79F56A5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867664" w14:textId="77777777" w:rsidR="00D82720" w:rsidRPr="00F70B52" w:rsidRDefault="00D82720" w:rsidP="00D82720">
      <w:pPr>
        <w:jc w:val="center"/>
        <w:rPr>
          <w:lang w:val="en-GB"/>
        </w:rPr>
      </w:pPr>
    </w:p>
    <w:p w14:paraId="2C78BEE2" w14:textId="77777777"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14:paraId="2F3FB4CD" w14:textId="77777777" w:rsidR="002D7A1C" w:rsidRDefault="002D7A1C" w:rsidP="005452D5">
      <w:pPr>
        <w:jc w:val="center"/>
      </w:pPr>
      <w:r w:rsidRPr="00DA3A08">
        <w:t>Obr. 1.</w:t>
      </w:r>
      <w:r>
        <w:t xml:space="preserve"> </w:t>
      </w:r>
      <w:r w:rsidRPr="002231F7">
        <w:t>Databázový súbor drvičov rozdelený podľa</w:t>
      </w:r>
      <w:r>
        <w:t xml:space="preserve"> závislosti hmotnosti od výkonu</w:t>
      </w:r>
    </w:p>
    <w:p w14:paraId="3A07E800" w14:textId="77777777" w:rsidR="002D7A1C" w:rsidRPr="002D7A1C" w:rsidRDefault="002D7A1C" w:rsidP="002D7A1C">
      <w:pPr>
        <w:ind w:left="567"/>
        <w:rPr>
          <w:rStyle w:val="hps"/>
          <w:lang w:val="en-GB"/>
        </w:rPr>
      </w:pPr>
      <w:r w:rsidRPr="002D7A1C">
        <w:rPr>
          <w:rStyle w:val="hps"/>
          <w:vertAlign w:val="superscript"/>
          <w:lang w:val="en-GB"/>
        </w:rPr>
        <w:t>1)</w:t>
      </w:r>
      <w:r>
        <w:rPr>
          <w:rStyle w:val="hps"/>
          <w:lang w:val="en-GB"/>
        </w:rPr>
        <w:t xml:space="preserve">Hmotnosť, </w:t>
      </w:r>
      <w:r w:rsidRPr="002D7A1C">
        <w:rPr>
          <w:rStyle w:val="hps"/>
          <w:vertAlign w:val="superscript"/>
          <w:lang w:val="en-GB"/>
        </w:rPr>
        <w:t>2)</w:t>
      </w:r>
      <w:r w:rsidRPr="002D7A1C">
        <w:rPr>
          <w:rStyle w:val="hps"/>
          <w:lang w:val="en-GB"/>
        </w:rPr>
        <w:t>Výkon</w:t>
      </w:r>
    </w:p>
    <w:p w14:paraId="5C5C256F" w14:textId="77777777" w:rsidR="005452D5" w:rsidRPr="00F70B52" w:rsidRDefault="005452D5" w:rsidP="005452D5">
      <w:pPr>
        <w:jc w:val="center"/>
        <w:rPr>
          <w:lang w:val="en-GB"/>
        </w:rPr>
      </w:pPr>
    </w:p>
    <w:p w14:paraId="56150092" w14:textId="77777777" w:rsidR="00D82720" w:rsidRPr="00F70B52" w:rsidRDefault="00D82720" w:rsidP="00D82720">
      <w:pPr>
        <w:keepNext/>
        <w:jc w:val="both"/>
        <w:rPr>
          <w:lang w:val="en-GB"/>
        </w:rPr>
      </w:pPr>
    </w:p>
    <w:p w14:paraId="7EC3B46E" w14:textId="77777777" w:rsidR="00D82720" w:rsidRDefault="00D82720" w:rsidP="00D82720">
      <w:pPr>
        <w:jc w:val="both"/>
        <w:rPr>
          <w:lang w:val="en-GB"/>
        </w:rPr>
      </w:pPr>
      <w:r w:rsidRPr="00F70B52">
        <w:rPr>
          <w:lang w:val="en-GB"/>
        </w:rPr>
        <w:t>Table 1. The categorization of forestry mulchers</w:t>
      </w:r>
    </w:p>
    <w:p w14:paraId="34EDE688" w14:textId="77777777" w:rsidR="002D7A1C" w:rsidRPr="0090427D" w:rsidRDefault="002D7A1C" w:rsidP="002D7A1C">
      <w:pPr>
        <w:jc w:val="both"/>
      </w:pPr>
      <w:r w:rsidRPr="0090427D">
        <w:t xml:space="preserve">Tabuľka </w:t>
      </w:r>
      <w:r>
        <w:t>1</w:t>
      </w:r>
      <w:r w:rsidRPr="0090427D">
        <w:t>. Kategorizácia drvičov</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14:paraId="083A7BA8" w14:textId="77777777" w:rsidTr="006B7902">
        <w:tc>
          <w:tcPr>
            <w:tcW w:w="1985" w:type="dxa"/>
            <w:shd w:val="clear" w:color="auto" w:fill="F2F2F2"/>
            <w:vAlign w:val="center"/>
          </w:tcPr>
          <w:p w14:paraId="25B1D1F0"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31CFB88F"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14:paraId="08E80DA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14:paraId="4960B95A"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14:paraId="1EB38AF0"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14:paraId="68E5D97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14:paraId="54D4F150"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14:paraId="3701FDA3" w14:textId="77777777" w:rsidTr="006B7902">
        <w:tc>
          <w:tcPr>
            <w:tcW w:w="1985" w:type="dxa"/>
            <w:vAlign w:val="center"/>
          </w:tcPr>
          <w:p w14:paraId="46A69D98" w14:textId="77777777"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14:paraId="00F8A79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5E41F76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23BC7F4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14:paraId="116AFAA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14:paraId="501F36F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14:paraId="588D124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14:paraId="4C071C40" w14:textId="77777777" w:rsidTr="006B7902">
        <w:tc>
          <w:tcPr>
            <w:tcW w:w="1985" w:type="dxa"/>
            <w:vAlign w:val="center"/>
          </w:tcPr>
          <w:p w14:paraId="626C2EA1" w14:textId="77777777"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14:paraId="6B45BD3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6D78C1F1"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14:paraId="4CB5282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14:paraId="5CD2EFE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14:paraId="234B766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14:paraId="2109E0F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14:paraId="130899F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14:paraId="681CEB25" w14:textId="77777777" w:rsidTr="006B7902">
        <w:tc>
          <w:tcPr>
            <w:tcW w:w="1985" w:type="dxa"/>
            <w:tcBorders>
              <w:bottom w:val="single" w:sz="4" w:space="0" w:color="auto"/>
            </w:tcBorders>
            <w:vAlign w:val="center"/>
          </w:tcPr>
          <w:p w14:paraId="47D3B1B2" w14:textId="77777777"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14:paraId="1F54C97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14:paraId="12C19ED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14:paraId="28F86CD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14:paraId="5D7329F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14:paraId="261D269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14:paraId="475D79F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14:paraId="5711483A" w14:textId="77777777" w:rsidTr="006B7902">
        <w:tc>
          <w:tcPr>
            <w:tcW w:w="1985" w:type="dxa"/>
            <w:shd w:val="clear" w:color="auto" w:fill="F2F2F2"/>
            <w:vAlign w:val="center"/>
          </w:tcPr>
          <w:p w14:paraId="3875D24B"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1B1157A6"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14:paraId="035C2AF7"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14:paraId="01E8E6EE"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14:paraId="5EEFD77B"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14:paraId="322A6B2B"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14:paraId="205E272A"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14:paraId="2133ADE0" w14:textId="77777777" w:rsidTr="006B7902">
        <w:tc>
          <w:tcPr>
            <w:tcW w:w="1985" w:type="dxa"/>
            <w:vAlign w:val="center"/>
          </w:tcPr>
          <w:p w14:paraId="4D0CCE55" w14:textId="77777777"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14:paraId="7F5476FB" w14:textId="77777777"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14:paraId="66656EC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5C586C7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4744E6D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14:paraId="3958C45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14:paraId="1D71D9B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14:paraId="33BAD2B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14:paraId="6D9A7480" w14:textId="77777777" w:rsidTr="006B7902">
        <w:tc>
          <w:tcPr>
            <w:tcW w:w="1985" w:type="dxa"/>
            <w:vAlign w:val="center"/>
          </w:tcPr>
          <w:p w14:paraId="56A21E99" w14:textId="77777777"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14:paraId="247CC49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618E11F1"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14:paraId="225342E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14:paraId="6F39CD5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14:paraId="17884CE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14:paraId="62FA941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14:paraId="420FA785"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14:paraId="44C718F1" w14:textId="77777777" w:rsidTr="006B7902">
        <w:tc>
          <w:tcPr>
            <w:tcW w:w="1985" w:type="dxa"/>
            <w:vAlign w:val="center"/>
          </w:tcPr>
          <w:p w14:paraId="597454E0" w14:textId="77777777"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14:paraId="5EE8F14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14:paraId="297E5F0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14:paraId="70108EF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14:paraId="464AA55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14:paraId="38B649E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14:paraId="443F204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14:paraId="2514AFC4" w14:textId="77777777"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14:paraId="25A7C05B" w14:textId="77777777" w:rsidR="002D7A1C" w:rsidRPr="00791555" w:rsidRDefault="002D7A1C" w:rsidP="00D447F1">
      <w:pPr>
        <w:pStyle w:val="Zarkazkladnhotextu2"/>
        <w:spacing w:after="0" w:line="240" w:lineRule="auto"/>
        <w:ind w:left="0" w:firstLine="709"/>
        <w:jc w:val="both"/>
      </w:pPr>
    </w:p>
    <w:p w14:paraId="2F8B27D8" w14:textId="77777777"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14:paraId="08845992" w14:textId="77777777"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14:paraId="586CF02F" w14:textId="77777777" w:rsidR="00D82720" w:rsidRPr="00F70B52" w:rsidRDefault="00D82720" w:rsidP="00D447F1">
      <w:pPr>
        <w:jc w:val="both"/>
        <w:rPr>
          <w:lang w:val="en-GB"/>
        </w:rPr>
      </w:pPr>
    </w:p>
    <w:p w14:paraId="6647131D" w14:textId="77777777" w:rsidR="00D82720" w:rsidRPr="00F70B52" w:rsidRDefault="00311F4F" w:rsidP="00D447F1">
      <w:pPr>
        <w:jc w:val="both"/>
        <w:rPr>
          <w:lang w:val="en-GB"/>
        </w:rPr>
      </w:pPr>
      <w:r>
        <w:rPr>
          <w:lang w:val="en-GB"/>
        </w:rPr>
        <w:t>where</w:t>
      </w:r>
      <w:r w:rsidR="00D82720" w:rsidRPr="00F70B52">
        <w:rPr>
          <w:lang w:val="en-GB"/>
        </w:rPr>
        <w:tab/>
      </w:r>
      <w:r w:rsidR="00D82720" w:rsidRPr="00F70B52">
        <w:rPr>
          <w:i/>
          <w:lang w:val="en-GB"/>
        </w:rPr>
        <w:t>η</w:t>
      </w:r>
      <w:r w:rsidR="00D82720" w:rsidRPr="00F70B52">
        <w:rPr>
          <w:i/>
          <w:vertAlign w:val="subscript"/>
          <w:lang w:val="en-GB"/>
        </w:rPr>
        <w:t>G</w:t>
      </w:r>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14:paraId="4FB529C8" w14:textId="77777777"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14:paraId="7410CD39" w14:textId="77777777"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hydrogenerator</w:t>
      </w:r>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14:paraId="439DEF4E" w14:textId="77777777"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14:paraId="1CF256E2" w14:textId="77777777"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14:paraId="17FBE3E3" w14:textId="77777777" w:rsidR="00D82720" w:rsidRPr="00F70B52" w:rsidRDefault="00121C38" w:rsidP="00D82720">
      <w:pPr>
        <w:pStyle w:val="Zakladnytext"/>
        <w:spacing w:before="240" w:after="120"/>
        <w:ind w:firstLine="0"/>
        <w:rPr>
          <w:b/>
          <w:caps/>
          <w:sz w:val="28"/>
          <w:szCs w:val="28"/>
          <w:lang w:val="en-GB"/>
        </w:rPr>
      </w:pPr>
      <w:r>
        <w:rPr>
          <w:b/>
          <w:caps/>
          <w:sz w:val="28"/>
          <w:szCs w:val="28"/>
          <w:lang w:val="en-GB"/>
        </w:rPr>
        <w:lastRenderedPageBreak/>
        <w:t>conclusion</w:t>
      </w:r>
    </w:p>
    <w:p w14:paraId="35622F64" w14:textId="25000693" w:rsidR="00C4094F" w:rsidRDefault="00311F4F" w:rsidP="00C4094F">
      <w:pPr>
        <w:ind w:firstLine="709"/>
        <w:jc w:val="both"/>
        <w:rPr>
          <w:lang w:val="en-GB"/>
        </w:rPr>
      </w:pPr>
      <w:r>
        <w:rPr>
          <w:lang w:val="en"/>
        </w:rPr>
        <w:t xml:space="preserve">It should present </w:t>
      </w:r>
      <w:r w:rsidR="00D608BE">
        <w:rPr>
          <w:lang w:val="en"/>
        </w:rPr>
        <w:t>a summary</w:t>
      </w:r>
      <w:r>
        <w:rPr>
          <w:lang w:val="en"/>
        </w:rPr>
        <w:t xml:space="preserve"> of the major results of the work and deduct </w:t>
      </w:r>
      <w:r>
        <w:rPr>
          <w:rStyle w:val="alt-edited"/>
          <w:lang w:val="en"/>
        </w:rPr>
        <w:t>fulfillment of set goals</w:t>
      </w:r>
      <w:r>
        <w:rPr>
          <w:lang w:val="en"/>
        </w:rPr>
        <w:t>.</w:t>
      </w:r>
      <w:r w:rsidR="00C4094F" w:rsidRPr="00F70B52">
        <w:rPr>
          <w:lang w:val="en-GB"/>
        </w:rPr>
        <w:t xml:space="preserve"> </w:t>
      </w:r>
    </w:p>
    <w:p w14:paraId="7568BAD5" w14:textId="53DEC51B" w:rsidR="00D608BE" w:rsidRDefault="00D608BE" w:rsidP="00D608BE">
      <w:pPr>
        <w:pStyle w:val="Zakladnytext"/>
        <w:spacing w:before="240" w:after="120"/>
        <w:ind w:firstLine="0"/>
        <w:rPr>
          <w:lang w:val="en-GB"/>
        </w:rPr>
      </w:pPr>
      <w:r w:rsidRPr="00D608BE">
        <w:rPr>
          <w:b/>
          <w:caps/>
          <w:sz w:val="28"/>
          <w:szCs w:val="28"/>
          <w:lang w:val="en-GB"/>
        </w:rPr>
        <w:t>acknowledgment</w:t>
      </w:r>
    </w:p>
    <w:p w14:paraId="5301539E" w14:textId="77777777" w:rsidR="00D608BE" w:rsidRPr="00F30C18" w:rsidRDefault="00D608BE" w:rsidP="00D608BE">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14:paraId="12C0E473" w14:textId="77777777" w:rsidR="00D82720" w:rsidRPr="00F70B52" w:rsidRDefault="00121C38" w:rsidP="00D82720">
      <w:pPr>
        <w:spacing w:before="240" w:after="120"/>
        <w:jc w:val="both"/>
        <w:rPr>
          <w:b/>
          <w:caps/>
          <w:sz w:val="28"/>
          <w:szCs w:val="28"/>
          <w:lang w:val="en-GB"/>
        </w:rPr>
      </w:pPr>
      <w:r>
        <w:rPr>
          <w:b/>
          <w:caps/>
          <w:sz w:val="28"/>
          <w:szCs w:val="28"/>
          <w:lang w:val="en-GB"/>
        </w:rPr>
        <w:t>literature</w:t>
      </w:r>
    </w:p>
    <w:p w14:paraId="0D08D072" w14:textId="77777777"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14:paraId="26314F87" w14:textId="586931B4"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w:t>
      </w:r>
      <w:r w:rsidRPr="008F7FD4">
        <w:rPr>
          <w:rFonts w:eastAsia="TimesNewRomanPSMT"/>
          <w:i/>
          <w:iCs/>
          <w:color w:val="231F20"/>
          <w:lang w:val="en-GB" w:eastAsia="en-US"/>
        </w:rPr>
        <w:t>J. Saf. Res. Appl</w:t>
      </w:r>
      <w:r w:rsidRPr="00F70B52">
        <w:rPr>
          <w:rFonts w:eastAsia="TimesNewRomanPSMT"/>
          <w:color w:val="231F20"/>
          <w:lang w:val="en-GB" w:eastAsia="en-US"/>
        </w:rPr>
        <w:t>.</w:t>
      </w:r>
      <w:r w:rsidR="008F7FD4">
        <w:rPr>
          <w:rFonts w:eastAsia="TimesNewRomanPSMT"/>
          <w:color w:val="231F20"/>
          <w:lang w:val="en-GB" w:eastAsia="en-US"/>
        </w:rPr>
        <w:t xml:space="preserve"> (3)</w:t>
      </w:r>
      <w:r w:rsidRPr="00F70B52">
        <w:rPr>
          <w:rFonts w:eastAsia="TimesNewRomanPSMT"/>
          <w:color w:val="231F20"/>
          <w:lang w:val="en-GB" w:eastAsia="en-US"/>
        </w:rPr>
        <w:t xml:space="preserve"> [online]. ISSN 1803-3687</w:t>
      </w:r>
      <w:r w:rsidR="008F7FD4">
        <w:rPr>
          <w:rFonts w:eastAsia="TimesNewRomanPSMT"/>
          <w:color w:val="231F20"/>
          <w:lang w:val="en-GB" w:eastAsia="en-US"/>
        </w:rPr>
        <w:t>.</w:t>
      </w:r>
      <w:r w:rsidRPr="00F70B52">
        <w:rPr>
          <w:rFonts w:eastAsia="TimesNewRomanPSMT"/>
          <w:color w:val="231F20"/>
          <w:lang w:val="en-GB" w:eastAsia="en-US"/>
        </w:rPr>
        <w:t xml:space="preserve"> Available in: &lt;http://www.bozpinfo.cz/josra/josra-03-2009/dado_hnilicaaerosoly.html&gt;.</w:t>
      </w:r>
    </w:p>
    <w:p w14:paraId="4CC4A4AA" w14:textId="77777777"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Hudec,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14:paraId="2EEDF78F" w14:textId="77777777" w:rsidR="00874220" w:rsidRPr="00F70B52" w:rsidRDefault="001B70F6" w:rsidP="005452D5">
      <w:pPr>
        <w:spacing w:before="120"/>
        <w:jc w:val="both"/>
        <w:rPr>
          <w:lang w:val="en-GB"/>
        </w:rPr>
      </w:pPr>
      <w:r>
        <w:rPr>
          <w:lang w:val="en-GB"/>
        </w:rPr>
        <w:t>www page of</w:t>
      </w:r>
      <w:r w:rsidR="00874220" w:rsidRPr="00F70B52">
        <w:rPr>
          <w:lang w:val="en-GB"/>
        </w:rPr>
        <w:t xml:space="preserve"> LKT s.r.o., Trstená. [online] [cit. 2014-01-27]. </w:t>
      </w:r>
      <w:r w:rsidR="00121C38">
        <w:rPr>
          <w:lang w:val="en-GB"/>
        </w:rPr>
        <w:t>Available on</w:t>
      </w:r>
      <w:r w:rsidR="00874220" w:rsidRPr="00F70B52">
        <w:rPr>
          <w:lang w:val="en-GB"/>
        </w:rPr>
        <w:t>: &lt;http://www.lkttrstena.sk/fotogaleria/brezovica-2010&gt;.</w:t>
      </w:r>
    </w:p>
    <w:p w14:paraId="7A3EEEB4" w14:textId="77777777"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14:paraId="5B5873B6" w14:textId="0B2BD9AF"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unmedicated pediatric cases using the Smetaniknnnn method. </w:t>
      </w:r>
      <w:r w:rsidRPr="00F70B52">
        <w:rPr>
          <w:i/>
          <w:lang w:val="en-GB"/>
        </w:rPr>
        <w:t>Applied psychophysiology and biofeedback</w:t>
      </w:r>
      <w:r w:rsidRPr="00F70B52">
        <w:rPr>
          <w:lang w:val="en-GB"/>
        </w:rPr>
        <w:t xml:space="preserve"> 25</w:t>
      </w:r>
      <w:r w:rsidR="008F7FD4">
        <w:rPr>
          <w:lang w:val="en-GB"/>
        </w:rPr>
        <w:t>(</w:t>
      </w:r>
      <w:r w:rsidRPr="00F70B52">
        <w:rPr>
          <w:lang w:val="en-GB"/>
        </w:rPr>
        <w:t>3</w:t>
      </w:r>
      <w:r w:rsidR="008F7FD4">
        <w:rPr>
          <w:lang w:val="en-GB"/>
        </w:rPr>
        <w:t>)</w:t>
      </w:r>
      <w:r w:rsidRPr="00F70B52">
        <w:rPr>
          <w:lang w:val="en-GB"/>
        </w:rPr>
        <w:t>. Netherlands: Springer; 2000. pp. 193–200. ISSN 1573-3270.</w:t>
      </w:r>
    </w:p>
    <w:p w14:paraId="6B5C04ED" w14:textId="77777777" w:rsidR="00874220" w:rsidRPr="00F70B52" w:rsidRDefault="00874220" w:rsidP="005452D5">
      <w:pPr>
        <w:autoSpaceDE w:val="0"/>
        <w:autoSpaceDN w:val="0"/>
        <w:adjustRightInd w:val="0"/>
        <w:spacing w:before="120"/>
        <w:jc w:val="both"/>
        <w:rPr>
          <w:lang w:val="en-GB"/>
        </w:rPr>
      </w:pPr>
      <w:r w:rsidRPr="002D7A1C">
        <w:rPr>
          <w:lang w:val="de-DE"/>
        </w:rPr>
        <w:t xml:space="preserve">NESTORIUC, Y., MARTIN, A., RIEF, W., ANDRASIK, F., 2008. </w:t>
      </w:r>
      <w:r w:rsidRPr="00F70B52">
        <w:rPr>
          <w:lang w:val="en-GB"/>
        </w:rPr>
        <w:t xml:space="preserve">Biofeedback treatment for headache disorders a comprehensive efficacy review applied psychophysiology and biofeedback. </w:t>
      </w:r>
      <w:r w:rsidRPr="00F70B52">
        <w:rPr>
          <w:i/>
          <w:lang w:val="en-GB"/>
        </w:rPr>
        <w:t>Appl Psychophysiol Biofeedback</w:t>
      </w:r>
      <w:r w:rsidRPr="00F70B52">
        <w:rPr>
          <w:lang w:val="en-GB"/>
        </w:rPr>
        <w:t xml:space="preserve"> </w:t>
      </w:r>
      <w:r w:rsidRPr="00F70B52">
        <w:rPr>
          <w:rFonts w:eastAsiaTheme="minorHAnsi"/>
          <w:lang w:val="en-GB" w:eastAsia="en-US"/>
        </w:rPr>
        <w:t>(2008) 33:125–140 DOI 10.1007/s10484-008-9060-3.</w:t>
      </w:r>
    </w:p>
    <w:p w14:paraId="4435E2F2" w14:textId="77777777"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14:paraId="625038A7" w14:textId="77777777"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Hudec,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Zvolen. </w:t>
      </w:r>
      <w:r w:rsidR="001B70F6">
        <w:rPr>
          <w:lang w:val="en-GB"/>
        </w:rPr>
        <w:t>Technical university in Zvolen</w:t>
      </w:r>
      <w:r w:rsidRPr="00F70B52">
        <w:rPr>
          <w:lang w:val="en-GB"/>
        </w:rPr>
        <w:t>, Zvolen, 2006, s. 190 – 197, ISBN 80-228-1648-5.</w:t>
      </w:r>
      <w:r w:rsidRPr="00F70B52">
        <w:rPr>
          <w:lang w:val="en-GB"/>
        </w:rPr>
        <w:tab/>
      </w:r>
      <w:r w:rsidRPr="00F70B52">
        <w:rPr>
          <w:lang w:val="en-GB"/>
        </w:rPr>
        <w:tab/>
        <w:t xml:space="preserve"> </w:t>
      </w:r>
    </w:p>
    <w:p w14:paraId="3A9A373C" w14:textId="77777777" w:rsidR="00D82720" w:rsidRPr="00F70B52" w:rsidRDefault="00D82720" w:rsidP="00D82720">
      <w:pPr>
        <w:jc w:val="both"/>
        <w:rPr>
          <w:lang w:val="en-GB"/>
        </w:rPr>
      </w:pPr>
    </w:p>
    <w:p w14:paraId="14F3DCCE" w14:textId="77777777" w:rsidR="00D82720" w:rsidRPr="00F70B52" w:rsidRDefault="00D82720" w:rsidP="00D82720">
      <w:pPr>
        <w:autoSpaceDE w:val="0"/>
        <w:autoSpaceDN w:val="0"/>
        <w:adjustRightInd w:val="0"/>
        <w:jc w:val="both"/>
        <w:rPr>
          <w:i/>
          <w:iCs/>
          <w:lang w:val="en-GB"/>
        </w:rPr>
      </w:pPr>
    </w:p>
    <w:p w14:paraId="6A6A92B1" w14:textId="77777777"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14:paraId="158A7190" w14:textId="77777777"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20"/>
    <w:rsid w:val="00121C38"/>
    <w:rsid w:val="00136BB0"/>
    <w:rsid w:val="001631C5"/>
    <w:rsid w:val="001B70F6"/>
    <w:rsid w:val="001C00AF"/>
    <w:rsid w:val="002B54B9"/>
    <w:rsid w:val="002D7A1C"/>
    <w:rsid w:val="00311F4F"/>
    <w:rsid w:val="004266A9"/>
    <w:rsid w:val="004D4FBC"/>
    <w:rsid w:val="005068F9"/>
    <w:rsid w:val="00517E7A"/>
    <w:rsid w:val="00532AA0"/>
    <w:rsid w:val="005452D5"/>
    <w:rsid w:val="005D706B"/>
    <w:rsid w:val="00631B14"/>
    <w:rsid w:val="00660396"/>
    <w:rsid w:val="006638F4"/>
    <w:rsid w:val="0075139C"/>
    <w:rsid w:val="007761CE"/>
    <w:rsid w:val="00791555"/>
    <w:rsid w:val="00874220"/>
    <w:rsid w:val="0087650C"/>
    <w:rsid w:val="008F7FD4"/>
    <w:rsid w:val="009233F9"/>
    <w:rsid w:val="00936841"/>
    <w:rsid w:val="009657CE"/>
    <w:rsid w:val="009D6411"/>
    <w:rsid w:val="00A60DFF"/>
    <w:rsid w:val="00AD65CF"/>
    <w:rsid w:val="00B02432"/>
    <w:rsid w:val="00C23B16"/>
    <w:rsid w:val="00C36D54"/>
    <w:rsid w:val="00C4094F"/>
    <w:rsid w:val="00D447F1"/>
    <w:rsid w:val="00D528ED"/>
    <w:rsid w:val="00D608BE"/>
    <w:rsid w:val="00D82720"/>
    <w:rsid w:val="00DC05E4"/>
    <w:rsid w:val="00E62336"/>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7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xmlns:c16r2="http://schemas.microsoft.com/office/drawing/2015/06/chart">
            <c:ext xmlns:c16="http://schemas.microsoft.com/office/drawing/2014/chart" uri="{C3380CC4-5D6E-409C-BE32-E72D297353CC}">
              <c16:uniqueId val="{00000001-D368-4079-AEDE-EEABFD7AF8B6}"/>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xmlns:c16r2="http://schemas.microsoft.com/office/drawing/2015/06/chart">
            <c:ext xmlns:c16="http://schemas.microsoft.com/office/drawing/2014/chart" uri="{C3380CC4-5D6E-409C-BE32-E72D297353CC}">
              <c16:uniqueId val="{00000002-D368-4079-AEDE-EEABFD7AF8B6}"/>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xmlns:c16r2="http://schemas.microsoft.com/office/drawing/2015/06/chart">
            <c:ext xmlns:c16="http://schemas.microsoft.com/office/drawing/2014/chart" uri="{C3380CC4-5D6E-409C-BE32-E72D297353CC}">
              <c16:uniqueId val="{00000003-D368-4079-AEDE-EEABFD7AF8B6}"/>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xmlns:c16r2="http://schemas.microsoft.com/office/drawing/2015/06/chart">
            <c:ext xmlns:c16="http://schemas.microsoft.com/office/drawing/2014/chart" uri="{C3380CC4-5D6E-409C-BE32-E72D297353CC}">
              <c16:uniqueId val="{00000004-D368-4079-AEDE-EEABFD7AF8B6}"/>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xmlns:c16r2="http://schemas.microsoft.com/office/drawing/2015/06/chart">
            <c:ext xmlns:c16="http://schemas.microsoft.com/office/drawing/2014/chart" uri="{C3380CC4-5D6E-409C-BE32-E72D297353CC}">
              <c16:uniqueId val="{00000005-D368-4079-AEDE-EEABFD7AF8B6}"/>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xmlns:c16r2="http://schemas.microsoft.com/office/drawing/2015/06/chart">
            <c:ext xmlns:c16="http://schemas.microsoft.com/office/drawing/2014/chart" uri="{C3380CC4-5D6E-409C-BE32-E72D297353CC}">
              <c16:uniqueId val="{00000006-D368-4079-AEDE-EEABFD7AF8B6}"/>
            </c:ext>
          </c:extLst>
        </c:ser>
        <c:dLbls>
          <c:showLegendKey val="0"/>
          <c:showVal val="0"/>
          <c:showCatName val="0"/>
          <c:showSerName val="0"/>
          <c:showPercent val="0"/>
          <c:showBubbleSize val="0"/>
        </c:dLbls>
        <c:axId val="105804928"/>
        <c:axId val="105806848"/>
      </c:scatterChart>
      <c:valAx>
        <c:axId val="105804928"/>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05806848"/>
        <c:crosses val="autoZero"/>
        <c:crossBetween val="midCat"/>
      </c:valAx>
      <c:valAx>
        <c:axId val="105806848"/>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05804928"/>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5FE2-3AA1-4F44-99C7-F19FDCC6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jancikova</cp:lastModifiedBy>
  <cp:revision>2</cp:revision>
  <dcterms:created xsi:type="dcterms:W3CDTF">2021-03-02T09:50:00Z</dcterms:created>
  <dcterms:modified xsi:type="dcterms:W3CDTF">2021-03-02T09:50:00Z</dcterms:modified>
</cp:coreProperties>
</file>