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EF52" w14:textId="77777777" w:rsidR="002D7A1C" w:rsidRPr="002D7A1C" w:rsidRDefault="002D7A1C" w:rsidP="00E62336">
      <w:pPr>
        <w:spacing w:after="240"/>
        <w:jc w:val="both"/>
        <w:rPr>
          <w:b/>
          <w:caps/>
          <w:sz w:val="32"/>
          <w:szCs w:val="32"/>
        </w:rPr>
      </w:pPr>
      <w:bookmarkStart w:id="0" w:name="_GoBack"/>
      <w:bookmarkEnd w:id="0"/>
      <w:r w:rsidRPr="002D7A1C">
        <w:rPr>
          <w:b/>
          <w:caps/>
          <w:sz w:val="32"/>
          <w:szCs w:val="32"/>
        </w:rPr>
        <w:t>application of the cableway then adapter forest wheeled tractors</w:t>
      </w:r>
    </w:p>
    <w:p w14:paraId="2F585344" w14:textId="77777777" w:rsidR="002D7A1C" w:rsidRPr="00E07660" w:rsidRDefault="002D7A1C" w:rsidP="002D7A1C">
      <w:pPr>
        <w:spacing w:before="240" w:after="240"/>
        <w:rPr>
          <w:sz w:val="26"/>
          <w:szCs w:val="26"/>
          <w:vertAlign w:val="superscript"/>
        </w:rPr>
      </w:pPr>
      <w:r w:rsidRPr="00E07660">
        <w:rPr>
          <w:sz w:val="26"/>
          <w:szCs w:val="26"/>
        </w:rPr>
        <w:t>Michaela Hnilicová</w:t>
      </w:r>
      <w:r>
        <w:rPr>
          <w:sz w:val="26"/>
          <w:szCs w:val="26"/>
          <w:vertAlign w:val="superscript"/>
        </w:rPr>
        <w:t>1</w:t>
      </w:r>
      <w:r>
        <w:rPr>
          <w:sz w:val="26"/>
          <w:szCs w:val="26"/>
        </w:rPr>
        <w:t>,</w:t>
      </w:r>
      <w:r w:rsidRPr="00E07660">
        <w:rPr>
          <w:sz w:val="26"/>
          <w:szCs w:val="26"/>
        </w:rPr>
        <w:t xml:space="preserve"> Valéria Messingerová</w:t>
      </w:r>
      <w:r>
        <w:rPr>
          <w:sz w:val="26"/>
          <w:szCs w:val="26"/>
          <w:vertAlign w:val="superscript"/>
        </w:rPr>
        <w:t>2</w:t>
      </w:r>
      <w:r>
        <w:rPr>
          <w:sz w:val="26"/>
          <w:szCs w:val="26"/>
        </w:rPr>
        <w:t xml:space="preserve">, </w:t>
      </w:r>
      <w:r w:rsidRPr="00E07660">
        <w:rPr>
          <w:sz w:val="26"/>
          <w:szCs w:val="26"/>
        </w:rPr>
        <w:t>Miroslav Dado</w:t>
      </w:r>
      <w:r>
        <w:rPr>
          <w:sz w:val="26"/>
          <w:szCs w:val="26"/>
          <w:vertAlign w:val="superscript"/>
        </w:rPr>
        <w:t>3</w:t>
      </w:r>
      <w:r>
        <w:rPr>
          <w:sz w:val="26"/>
          <w:szCs w:val="26"/>
        </w:rPr>
        <w:t xml:space="preserve">, </w:t>
      </w:r>
      <w:r w:rsidRPr="00E07660">
        <w:rPr>
          <w:sz w:val="26"/>
          <w:szCs w:val="26"/>
        </w:rPr>
        <w:t>Pavel Beňo</w:t>
      </w:r>
      <w:r>
        <w:rPr>
          <w:sz w:val="26"/>
          <w:szCs w:val="26"/>
          <w:vertAlign w:val="superscript"/>
        </w:rPr>
        <w:t>1</w:t>
      </w:r>
    </w:p>
    <w:p w14:paraId="6A7F20E8" w14:textId="77777777"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2A1E4FE1" w14:textId="77777777"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67EB3E48" w14:textId="77777777"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46C13E4D" w14:textId="77777777" w:rsidR="002D7A1C" w:rsidRPr="00E07660" w:rsidRDefault="002D7A1C" w:rsidP="002D7A1C">
      <w:pPr>
        <w:spacing w:before="240"/>
        <w:jc w:val="both"/>
        <w:rPr>
          <w:sz w:val="12"/>
          <w:szCs w:val="12"/>
          <w:lang w:val="en-GB"/>
        </w:rPr>
      </w:pPr>
      <w:r w:rsidRPr="0009005E">
        <w:rPr>
          <w:b/>
          <w:caps/>
          <w:sz w:val="20"/>
          <w:szCs w:val="20"/>
          <w:lang w:val="en-GB"/>
        </w:rPr>
        <w:t>Abstract</w:t>
      </w:r>
      <w:r w:rsidRPr="00E07660">
        <w:rPr>
          <w:b/>
          <w:caps/>
          <w:sz w:val="20"/>
          <w:szCs w:val="20"/>
          <w:lang w:val="en-GB"/>
        </w:rPr>
        <w:t xml:space="preserve">: </w:t>
      </w:r>
      <w:r w:rsidRPr="00E07660">
        <w:rPr>
          <w:sz w:val="20"/>
          <w:lang w:val="en-GB"/>
        </w:rPr>
        <w:t>Field conditions, high proportion of mountain forests and forest health condition requires ecological forest machinery. Skidding by cable systems is the most ecologically friendly skidding method. On the basis of the need of greater use of timber skidding by cable systems we started to work on a proposal of cable system based on transportation-circulating cable as adapters of forest wheeled tractors.</w:t>
      </w:r>
    </w:p>
    <w:p w14:paraId="7E7FEA42" w14:textId="77777777" w:rsidR="002D7A1C" w:rsidRPr="00E07660" w:rsidRDefault="002D7A1C" w:rsidP="002D7A1C">
      <w:pPr>
        <w:spacing w:before="120"/>
        <w:jc w:val="both"/>
        <w:rPr>
          <w:sz w:val="20"/>
          <w:lang w:val="en-GB"/>
        </w:rPr>
      </w:pPr>
      <w:r w:rsidRPr="00E07660">
        <w:rPr>
          <w:b/>
          <w:sz w:val="20"/>
          <w:szCs w:val="20"/>
          <w:lang w:val="en-GB"/>
        </w:rPr>
        <w:t xml:space="preserve">Key words: </w:t>
      </w:r>
      <w:r w:rsidRPr="00E07660">
        <w:rPr>
          <w:sz w:val="20"/>
          <w:lang w:val="en-GB"/>
        </w:rPr>
        <w:t>skidding, cable system, forest wheeled tractors, adapters</w:t>
      </w:r>
    </w:p>
    <w:p w14:paraId="47912DE1" w14:textId="6434A1F0" w:rsidR="00D82720" w:rsidRPr="00F70B52" w:rsidRDefault="00121C38" w:rsidP="00D82720">
      <w:pPr>
        <w:spacing w:before="240" w:after="120"/>
        <w:jc w:val="both"/>
        <w:rPr>
          <w:b/>
          <w:caps/>
          <w:sz w:val="28"/>
          <w:szCs w:val="28"/>
          <w:lang w:val="en-GB"/>
        </w:rPr>
      </w:pPr>
      <w:r>
        <w:rPr>
          <w:b/>
          <w:caps/>
          <w:sz w:val="28"/>
          <w:szCs w:val="28"/>
          <w:lang w:val="en-GB"/>
        </w:rPr>
        <w:t>Introduction</w:t>
      </w:r>
    </w:p>
    <w:p w14:paraId="0008A079" w14:textId="77777777" w:rsidR="00DD6DF8" w:rsidRDefault="00DD6DF8" w:rsidP="00DD6DF8">
      <w:pPr>
        <w:ind w:firstLine="709"/>
        <w:jc w:val="both"/>
        <w:rPr>
          <w:rStyle w:val="alt-edited"/>
          <w:lang w:val="en"/>
        </w:rPr>
      </w:pPr>
      <w:r w:rsidRPr="00DD6DF8">
        <w:rPr>
          <w:rStyle w:val="alt-edited"/>
          <w:lang w:val="en"/>
        </w:rPr>
        <w:t>The extended abstract briefly summarizes the main procedures and results of the paper. It should not exceed the range of 2 pages. The introduction should be brief and factual. It must contain the formulation of a scientific problem and the relationship of the solved work to previous works with similar issues. Finally, the scope and objectives of the contribution need to be clearly defined.</w:t>
      </w:r>
    </w:p>
    <w:p w14:paraId="5741BC01" w14:textId="7B2CC82F" w:rsidR="00D82720" w:rsidRPr="00F70B52" w:rsidRDefault="00121C38" w:rsidP="00D82720">
      <w:pPr>
        <w:spacing w:before="240" w:after="120"/>
        <w:rPr>
          <w:b/>
          <w:caps/>
          <w:sz w:val="28"/>
          <w:szCs w:val="28"/>
          <w:lang w:val="en-GB"/>
        </w:rPr>
      </w:pPr>
      <w:r>
        <w:rPr>
          <w:b/>
          <w:caps/>
          <w:sz w:val="28"/>
          <w:szCs w:val="28"/>
          <w:lang w:val="en-GB"/>
        </w:rPr>
        <w:t>material and methods</w:t>
      </w:r>
    </w:p>
    <w:p w14:paraId="0A61170A" w14:textId="28CB5058" w:rsidR="00DD6DF8" w:rsidRDefault="00DD6DF8" w:rsidP="00DD6DF8">
      <w:pPr>
        <w:ind w:firstLine="709"/>
        <w:jc w:val="both"/>
        <w:rPr>
          <w:lang w:val="en"/>
        </w:rPr>
      </w:pPr>
      <w:r w:rsidRPr="00DD6DF8">
        <w:rPr>
          <w:lang w:val="en"/>
        </w:rPr>
        <w:t xml:space="preserve">Contains a brief description of materials, methods, and procedures. The main goal of this section is to provide enough detail </w:t>
      </w:r>
      <w:r w:rsidRPr="00DD6DF8">
        <w:rPr>
          <w:lang w:val="en-GB"/>
        </w:rPr>
        <w:t>for</w:t>
      </w:r>
      <w:r w:rsidRPr="00DD6DF8">
        <w:rPr>
          <w:lang w:val="en"/>
        </w:rPr>
        <w:t xml:space="preserve"> a competent researcher.</w:t>
      </w:r>
    </w:p>
    <w:p w14:paraId="2DF39902" w14:textId="6504F613" w:rsidR="00D82720" w:rsidRPr="00F70B52" w:rsidRDefault="00121C38" w:rsidP="00D82720">
      <w:pPr>
        <w:spacing w:before="240" w:after="120"/>
        <w:rPr>
          <w:b/>
          <w:caps/>
          <w:sz w:val="28"/>
          <w:szCs w:val="28"/>
          <w:lang w:val="en-GB"/>
        </w:rPr>
      </w:pPr>
      <w:r>
        <w:rPr>
          <w:b/>
          <w:caps/>
          <w:sz w:val="28"/>
          <w:szCs w:val="28"/>
          <w:lang w:val="en-GB"/>
        </w:rPr>
        <w:t>results</w:t>
      </w:r>
    </w:p>
    <w:p w14:paraId="747DCA17" w14:textId="7567B9E1" w:rsidR="00D82720" w:rsidRPr="00F70B52" w:rsidRDefault="00DD6DF8" w:rsidP="00DD6DF8">
      <w:pPr>
        <w:ind w:firstLine="709"/>
        <w:jc w:val="both"/>
        <w:rPr>
          <w:lang w:val="en-GB"/>
        </w:rPr>
      </w:pPr>
      <w:r w:rsidRPr="00DD6DF8">
        <w:rPr>
          <w:lang w:val="en-GB"/>
        </w:rPr>
        <w:t xml:space="preserve">In this part it is necessary to focus on the </w:t>
      </w:r>
      <w:r w:rsidRPr="00DD6DF8">
        <w:rPr>
          <w:lang w:val="en"/>
        </w:rPr>
        <w:t>evaluation</w:t>
      </w:r>
      <w:r w:rsidRPr="00DD6DF8">
        <w:rPr>
          <w:lang w:val="en-GB"/>
        </w:rPr>
        <w:t xml:space="preserve"> of the achieved results. Provide figures</w:t>
      </w:r>
      <w:r w:rsidR="004F30DF">
        <w:rPr>
          <w:lang w:val="en-GB"/>
        </w:rPr>
        <w:t>,</w:t>
      </w:r>
      <w:r w:rsidRPr="00DD6DF8">
        <w:rPr>
          <w:lang w:val="en-GB"/>
        </w:rPr>
        <w:t xml:space="preserve"> tables</w:t>
      </w:r>
      <w:r w:rsidR="004F30DF">
        <w:rPr>
          <w:lang w:val="en-GB"/>
        </w:rPr>
        <w:t>, and equations</w:t>
      </w:r>
      <w:r w:rsidRPr="00DD6DF8">
        <w:rPr>
          <w:lang w:val="en-GB"/>
        </w:rPr>
        <w:t xml:space="preserve"> if necessary.</w:t>
      </w:r>
    </w:p>
    <w:p w14:paraId="18BEB730" w14:textId="77777777" w:rsidR="00D82720" w:rsidRPr="00F70B52" w:rsidRDefault="00D82720" w:rsidP="00D82720">
      <w:pPr>
        <w:jc w:val="center"/>
        <w:rPr>
          <w:lang w:val="en-GB"/>
        </w:rPr>
      </w:pPr>
      <w:r w:rsidRPr="00F70B52">
        <w:rPr>
          <w:noProof/>
        </w:rPr>
        <w:drawing>
          <wp:inline distT="0" distB="0" distL="0" distR="0" wp14:anchorId="7B334BF2" wp14:editId="35082D49">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867664" w14:textId="77777777" w:rsidR="00D82720" w:rsidRPr="00F70B52" w:rsidRDefault="00D82720" w:rsidP="00D82720">
      <w:pPr>
        <w:jc w:val="center"/>
        <w:rPr>
          <w:lang w:val="en-GB"/>
        </w:rPr>
      </w:pPr>
    </w:p>
    <w:p w14:paraId="2C78BEE2" w14:textId="3CA7A73D" w:rsidR="00D82720" w:rsidRDefault="00D82720" w:rsidP="005452D5">
      <w:pPr>
        <w:jc w:val="center"/>
        <w:rPr>
          <w:rStyle w:val="hps"/>
          <w:lang w:val="en-GB"/>
        </w:rPr>
      </w:pPr>
      <w:r w:rsidRPr="00F70B52">
        <w:rPr>
          <w:lang w:val="en-GB"/>
        </w:rPr>
        <w:t>Fig. 1</w:t>
      </w:r>
      <w:r w:rsidRPr="00F70B52">
        <w:rPr>
          <w:b/>
          <w:lang w:val="en-GB"/>
        </w:rPr>
        <w:t xml:space="preserve"> </w:t>
      </w:r>
      <w:r w:rsidRPr="00F70B52">
        <w:rPr>
          <w:rStyle w:val="hps"/>
          <w:lang w:val="en-GB"/>
        </w:rPr>
        <w:t>Database file</w:t>
      </w:r>
      <w:r w:rsidRPr="00F70B52">
        <w:rPr>
          <w:lang w:val="en-GB"/>
        </w:rPr>
        <w:t xml:space="preserve"> </w:t>
      </w:r>
      <w:r w:rsidRPr="00F70B52">
        <w:rPr>
          <w:rStyle w:val="hps"/>
          <w:lang w:val="en-GB"/>
        </w:rPr>
        <w:t>of grinders</w:t>
      </w:r>
      <w:r w:rsidRPr="00F70B52">
        <w:rPr>
          <w:lang w:val="en-GB"/>
        </w:rPr>
        <w:t xml:space="preserve"> </w:t>
      </w:r>
      <w:r w:rsidRPr="00F70B52">
        <w:rPr>
          <w:rStyle w:val="hps"/>
          <w:lang w:val="en-GB"/>
        </w:rPr>
        <w:t>divided by correlation between weight and power</w:t>
      </w:r>
    </w:p>
    <w:p w14:paraId="2F3FB4CD" w14:textId="06C7954C" w:rsidR="002D7A1C" w:rsidRDefault="002D7A1C" w:rsidP="005452D5">
      <w:pPr>
        <w:jc w:val="center"/>
      </w:pPr>
      <w:r w:rsidRPr="00DA3A08">
        <w:t>Obr. 1</w:t>
      </w:r>
      <w:r>
        <w:t xml:space="preserve"> </w:t>
      </w:r>
      <w:r w:rsidRPr="002231F7">
        <w:t>Databázový súbor drvičov rozdelený podľa</w:t>
      </w:r>
      <w:r>
        <w:t xml:space="preserve"> závislosti hmotnosti od výkonu</w:t>
      </w:r>
    </w:p>
    <w:p w14:paraId="5C5C256F" w14:textId="748AEF39" w:rsidR="005452D5" w:rsidRDefault="005452D5" w:rsidP="005452D5">
      <w:pPr>
        <w:jc w:val="center"/>
        <w:rPr>
          <w:lang w:val="en-GB"/>
        </w:rPr>
      </w:pPr>
    </w:p>
    <w:p w14:paraId="11084BC8" w14:textId="064FE4B1" w:rsidR="00467A48" w:rsidRDefault="00467A48" w:rsidP="005452D5">
      <w:pPr>
        <w:jc w:val="center"/>
        <w:rPr>
          <w:lang w:val="en-GB"/>
        </w:rPr>
      </w:pPr>
    </w:p>
    <w:p w14:paraId="42051425" w14:textId="77777777" w:rsidR="00467A48" w:rsidRPr="00F70B52" w:rsidRDefault="00467A48" w:rsidP="005452D5">
      <w:pPr>
        <w:jc w:val="center"/>
        <w:rPr>
          <w:lang w:val="en-GB"/>
        </w:rPr>
      </w:pPr>
    </w:p>
    <w:p w14:paraId="7EC3B46E" w14:textId="31B738B0" w:rsidR="00D82720" w:rsidRDefault="00D82720" w:rsidP="00D82720">
      <w:pPr>
        <w:jc w:val="both"/>
        <w:rPr>
          <w:lang w:val="en-GB"/>
        </w:rPr>
      </w:pPr>
      <w:r w:rsidRPr="00F70B52">
        <w:rPr>
          <w:lang w:val="en-GB"/>
        </w:rPr>
        <w:lastRenderedPageBreak/>
        <w:t>Table 1 The categorization of forestry mulchers</w:t>
      </w:r>
    </w:p>
    <w:p w14:paraId="34EDE688" w14:textId="5D0674A1" w:rsidR="002D7A1C" w:rsidRPr="0090427D" w:rsidRDefault="002D7A1C" w:rsidP="002D7A1C">
      <w:pPr>
        <w:jc w:val="both"/>
      </w:pPr>
      <w:r w:rsidRPr="0090427D">
        <w:t xml:space="preserve">Tabuľka </w:t>
      </w:r>
      <w:r>
        <w:t>1</w:t>
      </w:r>
      <w:r w:rsidRPr="0090427D">
        <w:t xml:space="preserve"> Kategorizácia drvičov</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AD65CF" w14:paraId="083A7BA8" w14:textId="77777777" w:rsidTr="006B7902">
        <w:tc>
          <w:tcPr>
            <w:tcW w:w="1985" w:type="dxa"/>
            <w:shd w:val="clear" w:color="auto" w:fill="F2F2F2"/>
            <w:vAlign w:val="center"/>
          </w:tcPr>
          <w:p w14:paraId="25B1D1F0" w14:textId="77777777"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14:paraId="31CFB88F"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t</w:t>
            </w:r>
          </w:p>
        </w:tc>
        <w:tc>
          <w:tcPr>
            <w:tcW w:w="1221" w:type="dxa"/>
            <w:shd w:val="clear" w:color="auto" w:fill="F2F2F2"/>
            <w:vAlign w:val="center"/>
          </w:tcPr>
          <w:p w14:paraId="08E80DA9"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t</w:t>
            </w:r>
          </w:p>
        </w:tc>
        <w:tc>
          <w:tcPr>
            <w:tcW w:w="1201" w:type="dxa"/>
            <w:shd w:val="clear" w:color="auto" w:fill="F2F2F2"/>
            <w:vAlign w:val="center"/>
          </w:tcPr>
          <w:p w14:paraId="4960B95A"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t</w:t>
            </w:r>
          </w:p>
        </w:tc>
        <w:tc>
          <w:tcPr>
            <w:tcW w:w="1192" w:type="dxa"/>
            <w:shd w:val="clear" w:color="auto" w:fill="F2F2F2"/>
            <w:vAlign w:val="center"/>
          </w:tcPr>
          <w:p w14:paraId="1EB38AF0"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t</w:t>
            </w:r>
          </w:p>
        </w:tc>
        <w:tc>
          <w:tcPr>
            <w:tcW w:w="1247" w:type="dxa"/>
            <w:shd w:val="clear" w:color="auto" w:fill="F2F2F2"/>
            <w:vAlign w:val="center"/>
          </w:tcPr>
          <w:p w14:paraId="68E5D979"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t</w:t>
            </w:r>
          </w:p>
        </w:tc>
        <w:tc>
          <w:tcPr>
            <w:tcW w:w="1141" w:type="dxa"/>
            <w:shd w:val="clear" w:color="auto" w:fill="F2F2F2"/>
            <w:vAlign w:val="center"/>
          </w:tcPr>
          <w:p w14:paraId="54D4F150"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t</w:t>
            </w:r>
          </w:p>
        </w:tc>
      </w:tr>
      <w:tr w:rsidR="00D82720" w:rsidRPr="00AD65CF" w14:paraId="3701FDA3" w14:textId="77777777" w:rsidTr="006B7902">
        <w:tc>
          <w:tcPr>
            <w:tcW w:w="1985" w:type="dxa"/>
            <w:vAlign w:val="center"/>
          </w:tcPr>
          <w:p w14:paraId="46A69D98" w14:textId="0194FE3B" w:rsidR="00D82720" w:rsidRPr="00AD65CF" w:rsidRDefault="009657CE" w:rsidP="006B7902">
            <w:pPr>
              <w:jc w:val="center"/>
              <w:rPr>
                <w:rFonts w:ascii="Arial" w:hAnsi="Arial" w:cs="Arial"/>
                <w:sz w:val="20"/>
                <w:szCs w:val="20"/>
                <w:lang w:val="en-GB"/>
              </w:rPr>
            </w:pPr>
            <w:r w:rsidRPr="00AD65CF">
              <w:rPr>
                <w:rFonts w:ascii="Arial" w:hAnsi="Arial" w:cs="Arial"/>
                <w:sz w:val="20"/>
                <w:szCs w:val="20"/>
                <w:lang w:val="en-GB"/>
              </w:rPr>
              <w:t>Engine performance</w:t>
            </w:r>
            <w:r w:rsidR="005452D5" w:rsidRPr="00AD65CF">
              <w:rPr>
                <w:rFonts w:ascii="Arial" w:hAnsi="Arial" w:cs="Arial"/>
                <w:sz w:val="20"/>
                <w:szCs w:val="20"/>
                <w:vertAlign w:val="superscript"/>
                <w:lang w:val="en-GB"/>
              </w:rPr>
              <w:t xml:space="preserve"> </w:t>
            </w:r>
            <w:r w:rsidR="00D82720" w:rsidRPr="00AD65CF">
              <w:rPr>
                <w:rFonts w:ascii="Arial" w:hAnsi="Arial" w:cs="Arial"/>
                <w:sz w:val="20"/>
                <w:szCs w:val="20"/>
                <w:lang w:val="en-GB"/>
              </w:rPr>
              <w:t>[kW]</w:t>
            </w:r>
          </w:p>
        </w:tc>
        <w:tc>
          <w:tcPr>
            <w:tcW w:w="1067" w:type="dxa"/>
            <w:vAlign w:val="center"/>
          </w:tcPr>
          <w:p w14:paraId="00F8A797"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14:paraId="5E41F76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14:paraId="23BC7F4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125</w:t>
            </w:r>
          </w:p>
        </w:tc>
        <w:tc>
          <w:tcPr>
            <w:tcW w:w="1192" w:type="dxa"/>
            <w:vAlign w:val="center"/>
          </w:tcPr>
          <w:p w14:paraId="116AFAAB"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125 ÷ 175</w:t>
            </w:r>
          </w:p>
        </w:tc>
        <w:tc>
          <w:tcPr>
            <w:tcW w:w="1247" w:type="dxa"/>
            <w:vAlign w:val="center"/>
          </w:tcPr>
          <w:p w14:paraId="501F36FB"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225</w:t>
            </w:r>
          </w:p>
        </w:tc>
        <w:tc>
          <w:tcPr>
            <w:tcW w:w="1141" w:type="dxa"/>
            <w:vAlign w:val="center"/>
          </w:tcPr>
          <w:p w14:paraId="588D1240"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225</w:t>
            </w:r>
          </w:p>
        </w:tc>
      </w:tr>
      <w:tr w:rsidR="00D82720" w:rsidRPr="00AD65CF" w14:paraId="4C071C40" w14:textId="77777777" w:rsidTr="006B7902">
        <w:tc>
          <w:tcPr>
            <w:tcW w:w="1985" w:type="dxa"/>
            <w:vAlign w:val="center"/>
          </w:tcPr>
          <w:p w14:paraId="626C2EA1" w14:textId="67342317"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p>
          <w:p w14:paraId="6B45BD36"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14:paraId="6D78C1F1"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1,3</w:t>
            </w:r>
          </w:p>
        </w:tc>
        <w:tc>
          <w:tcPr>
            <w:tcW w:w="1221" w:type="dxa"/>
            <w:vAlign w:val="center"/>
          </w:tcPr>
          <w:p w14:paraId="4CB5282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1,3 ÷ 1,7</w:t>
            </w:r>
          </w:p>
        </w:tc>
        <w:tc>
          <w:tcPr>
            <w:tcW w:w="1201" w:type="dxa"/>
            <w:vAlign w:val="center"/>
          </w:tcPr>
          <w:p w14:paraId="5CD2EFE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 ÷ 2,0</w:t>
            </w:r>
          </w:p>
        </w:tc>
        <w:tc>
          <w:tcPr>
            <w:tcW w:w="1192" w:type="dxa"/>
            <w:vAlign w:val="center"/>
          </w:tcPr>
          <w:p w14:paraId="234B7666"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2,0 ÷ 2,8</w:t>
            </w:r>
          </w:p>
        </w:tc>
        <w:tc>
          <w:tcPr>
            <w:tcW w:w="1247" w:type="dxa"/>
            <w:vAlign w:val="center"/>
          </w:tcPr>
          <w:p w14:paraId="2109E0FA"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2,8 ÷ 3,5</w:t>
            </w:r>
          </w:p>
        </w:tc>
        <w:tc>
          <w:tcPr>
            <w:tcW w:w="1141" w:type="dxa"/>
            <w:vAlign w:val="center"/>
          </w:tcPr>
          <w:p w14:paraId="130899F6"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3,5</w:t>
            </w:r>
          </w:p>
        </w:tc>
      </w:tr>
      <w:tr w:rsidR="00D82720" w:rsidRPr="00AD65CF" w14:paraId="681CEB25" w14:textId="77777777" w:rsidTr="006B7902">
        <w:tc>
          <w:tcPr>
            <w:tcW w:w="1985" w:type="dxa"/>
            <w:tcBorders>
              <w:bottom w:val="single" w:sz="4" w:space="0" w:color="auto"/>
            </w:tcBorders>
            <w:vAlign w:val="center"/>
          </w:tcPr>
          <w:p w14:paraId="47D3B1B2" w14:textId="05A0DD9D"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D82720" w:rsidRPr="00AD65CF">
              <w:rPr>
                <w:rFonts w:ascii="Arial" w:hAnsi="Arial" w:cs="Arial"/>
                <w:sz w:val="20"/>
                <w:szCs w:val="20"/>
                <w:lang w:val="en-GB"/>
              </w:rPr>
              <w:t xml:space="preserve"> [cm]</w:t>
            </w:r>
          </w:p>
        </w:tc>
        <w:tc>
          <w:tcPr>
            <w:tcW w:w="1067" w:type="dxa"/>
            <w:tcBorders>
              <w:bottom w:val="single" w:sz="4" w:space="0" w:color="auto"/>
            </w:tcBorders>
            <w:vAlign w:val="center"/>
          </w:tcPr>
          <w:p w14:paraId="1F54C977"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22</w:t>
            </w:r>
          </w:p>
        </w:tc>
        <w:tc>
          <w:tcPr>
            <w:tcW w:w="1221" w:type="dxa"/>
            <w:tcBorders>
              <w:bottom w:val="single" w:sz="4" w:space="0" w:color="auto"/>
            </w:tcBorders>
            <w:vAlign w:val="center"/>
          </w:tcPr>
          <w:p w14:paraId="12C19ED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22 ÷ 26</w:t>
            </w:r>
          </w:p>
        </w:tc>
        <w:tc>
          <w:tcPr>
            <w:tcW w:w="1201" w:type="dxa"/>
            <w:tcBorders>
              <w:bottom w:val="single" w:sz="4" w:space="0" w:color="auto"/>
            </w:tcBorders>
            <w:vAlign w:val="center"/>
          </w:tcPr>
          <w:p w14:paraId="28F86CD0"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92" w:type="dxa"/>
            <w:tcBorders>
              <w:bottom w:val="single" w:sz="4" w:space="0" w:color="auto"/>
            </w:tcBorders>
            <w:vAlign w:val="center"/>
          </w:tcPr>
          <w:p w14:paraId="5D7329F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30 ÷ 38</w:t>
            </w:r>
          </w:p>
        </w:tc>
        <w:tc>
          <w:tcPr>
            <w:tcW w:w="1247" w:type="dxa"/>
            <w:tcBorders>
              <w:bottom w:val="single" w:sz="4" w:space="0" w:color="auto"/>
            </w:tcBorders>
            <w:vAlign w:val="center"/>
          </w:tcPr>
          <w:p w14:paraId="261D2692"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38 ÷ 46</w:t>
            </w:r>
          </w:p>
        </w:tc>
        <w:tc>
          <w:tcPr>
            <w:tcW w:w="1141" w:type="dxa"/>
            <w:tcBorders>
              <w:bottom w:val="single" w:sz="4" w:space="0" w:color="auto"/>
            </w:tcBorders>
            <w:vAlign w:val="center"/>
          </w:tcPr>
          <w:p w14:paraId="475D79F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46</w:t>
            </w:r>
          </w:p>
        </w:tc>
      </w:tr>
      <w:tr w:rsidR="00D82720" w:rsidRPr="00AD65CF" w14:paraId="5711483A" w14:textId="77777777" w:rsidTr="006B7902">
        <w:tc>
          <w:tcPr>
            <w:tcW w:w="1985" w:type="dxa"/>
            <w:shd w:val="clear" w:color="auto" w:fill="F2F2F2"/>
            <w:vAlign w:val="center"/>
          </w:tcPr>
          <w:p w14:paraId="3875D24B" w14:textId="77777777"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14:paraId="1B1157A6"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hm</w:t>
            </w:r>
          </w:p>
        </w:tc>
        <w:tc>
          <w:tcPr>
            <w:tcW w:w="1221" w:type="dxa"/>
            <w:shd w:val="clear" w:color="auto" w:fill="F2F2F2"/>
            <w:vAlign w:val="center"/>
          </w:tcPr>
          <w:p w14:paraId="035C2AF7"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hm</w:t>
            </w:r>
          </w:p>
        </w:tc>
        <w:tc>
          <w:tcPr>
            <w:tcW w:w="1201" w:type="dxa"/>
            <w:shd w:val="clear" w:color="auto" w:fill="F2F2F2"/>
            <w:vAlign w:val="center"/>
          </w:tcPr>
          <w:p w14:paraId="01E8E6EE"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hm</w:t>
            </w:r>
          </w:p>
        </w:tc>
        <w:tc>
          <w:tcPr>
            <w:tcW w:w="1192" w:type="dxa"/>
            <w:shd w:val="clear" w:color="auto" w:fill="F2F2F2"/>
            <w:vAlign w:val="center"/>
          </w:tcPr>
          <w:p w14:paraId="5EEFD77B"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hm</w:t>
            </w:r>
          </w:p>
        </w:tc>
        <w:tc>
          <w:tcPr>
            <w:tcW w:w="1247" w:type="dxa"/>
            <w:shd w:val="clear" w:color="auto" w:fill="F2F2F2"/>
            <w:vAlign w:val="center"/>
          </w:tcPr>
          <w:p w14:paraId="322A6B2B"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hm</w:t>
            </w:r>
          </w:p>
        </w:tc>
        <w:tc>
          <w:tcPr>
            <w:tcW w:w="1141" w:type="dxa"/>
            <w:shd w:val="clear" w:color="auto" w:fill="F2F2F2"/>
            <w:vAlign w:val="center"/>
          </w:tcPr>
          <w:p w14:paraId="205E272A"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hm</w:t>
            </w:r>
          </w:p>
        </w:tc>
      </w:tr>
      <w:tr w:rsidR="00D82720" w:rsidRPr="00AD65CF" w14:paraId="2133ADE0" w14:textId="77777777" w:rsidTr="006B7902">
        <w:tc>
          <w:tcPr>
            <w:tcW w:w="1985" w:type="dxa"/>
            <w:vAlign w:val="center"/>
          </w:tcPr>
          <w:p w14:paraId="4D0CCE55" w14:textId="035161FC" w:rsidR="005452D5"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Flow rating</w:t>
            </w:r>
          </w:p>
          <w:p w14:paraId="7F5476FB" w14:textId="77777777" w:rsidR="00D82720" w:rsidRPr="00AD65CF" w:rsidRDefault="00D82720" w:rsidP="009657CE">
            <w:pPr>
              <w:jc w:val="center"/>
              <w:rPr>
                <w:rFonts w:ascii="Arial" w:hAnsi="Arial" w:cs="Arial"/>
                <w:sz w:val="20"/>
                <w:szCs w:val="20"/>
                <w:lang w:val="en-GB"/>
              </w:rPr>
            </w:pPr>
            <w:r w:rsidRPr="00AD65CF">
              <w:rPr>
                <w:rFonts w:ascii="Arial" w:hAnsi="Arial" w:cs="Arial"/>
                <w:sz w:val="20"/>
                <w:szCs w:val="20"/>
                <w:lang w:val="en-GB"/>
              </w:rPr>
              <w:t>[kW]</w:t>
            </w:r>
          </w:p>
        </w:tc>
        <w:tc>
          <w:tcPr>
            <w:tcW w:w="1067" w:type="dxa"/>
            <w:vAlign w:val="center"/>
          </w:tcPr>
          <w:p w14:paraId="66656EC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14:paraId="5C586C70"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14:paraId="4744E6D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150</w:t>
            </w:r>
          </w:p>
        </w:tc>
        <w:tc>
          <w:tcPr>
            <w:tcW w:w="1192" w:type="dxa"/>
            <w:vAlign w:val="center"/>
          </w:tcPr>
          <w:p w14:paraId="3958C45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150 ÷ 175</w:t>
            </w:r>
          </w:p>
        </w:tc>
        <w:tc>
          <w:tcPr>
            <w:tcW w:w="1247" w:type="dxa"/>
            <w:vAlign w:val="center"/>
          </w:tcPr>
          <w:p w14:paraId="1D71D9B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200</w:t>
            </w:r>
          </w:p>
        </w:tc>
        <w:tc>
          <w:tcPr>
            <w:tcW w:w="1141" w:type="dxa"/>
            <w:vAlign w:val="center"/>
          </w:tcPr>
          <w:p w14:paraId="33BAD2B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200</w:t>
            </w:r>
          </w:p>
        </w:tc>
      </w:tr>
      <w:tr w:rsidR="00D82720" w:rsidRPr="00AD65CF" w14:paraId="6D9A7480" w14:textId="77777777" w:rsidTr="006B7902">
        <w:tc>
          <w:tcPr>
            <w:tcW w:w="1985" w:type="dxa"/>
            <w:vAlign w:val="center"/>
          </w:tcPr>
          <w:p w14:paraId="56A21E99" w14:textId="050E9F1F"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p>
          <w:p w14:paraId="247CC49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14:paraId="618E11F1"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0,55</w:t>
            </w:r>
          </w:p>
        </w:tc>
        <w:tc>
          <w:tcPr>
            <w:tcW w:w="1221" w:type="dxa"/>
            <w:vAlign w:val="center"/>
          </w:tcPr>
          <w:p w14:paraId="225342E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0,55 ÷ 0,7</w:t>
            </w:r>
          </w:p>
        </w:tc>
        <w:tc>
          <w:tcPr>
            <w:tcW w:w="1201" w:type="dxa"/>
            <w:vAlign w:val="center"/>
          </w:tcPr>
          <w:p w14:paraId="6F39CD5D"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0,7 ÷ 1,0</w:t>
            </w:r>
          </w:p>
        </w:tc>
        <w:tc>
          <w:tcPr>
            <w:tcW w:w="1192" w:type="dxa"/>
            <w:vAlign w:val="center"/>
          </w:tcPr>
          <w:p w14:paraId="17884CE4"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 ÷ 1,2</w:t>
            </w:r>
          </w:p>
        </w:tc>
        <w:tc>
          <w:tcPr>
            <w:tcW w:w="1247" w:type="dxa"/>
            <w:vAlign w:val="center"/>
          </w:tcPr>
          <w:p w14:paraId="62FA9414"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1,35</w:t>
            </w:r>
          </w:p>
        </w:tc>
        <w:tc>
          <w:tcPr>
            <w:tcW w:w="1141" w:type="dxa"/>
            <w:vAlign w:val="center"/>
          </w:tcPr>
          <w:p w14:paraId="420FA785"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1,35</w:t>
            </w:r>
          </w:p>
        </w:tc>
      </w:tr>
      <w:tr w:rsidR="00D82720" w:rsidRPr="00AD65CF" w14:paraId="44C718F1" w14:textId="77777777" w:rsidTr="006B7902">
        <w:tc>
          <w:tcPr>
            <w:tcW w:w="1985" w:type="dxa"/>
            <w:vAlign w:val="center"/>
          </w:tcPr>
          <w:p w14:paraId="597454E0" w14:textId="23F38B84"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D82720" w:rsidRPr="00AD65CF">
              <w:rPr>
                <w:rFonts w:ascii="Arial" w:hAnsi="Arial" w:cs="Arial"/>
                <w:sz w:val="20"/>
                <w:szCs w:val="20"/>
                <w:lang w:val="en-GB"/>
              </w:rPr>
              <w:t xml:space="preserve"> [cm]</w:t>
            </w:r>
          </w:p>
        </w:tc>
        <w:tc>
          <w:tcPr>
            <w:tcW w:w="1067" w:type="dxa"/>
            <w:vAlign w:val="center"/>
          </w:tcPr>
          <w:p w14:paraId="5EE8F14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12</w:t>
            </w:r>
          </w:p>
        </w:tc>
        <w:tc>
          <w:tcPr>
            <w:tcW w:w="1221" w:type="dxa"/>
            <w:vAlign w:val="center"/>
          </w:tcPr>
          <w:p w14:paraId="297E5F0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16</w:t>
            </w:r>
          </w:p>
        </w:tc>
        <w:tc>
          <w:tcPr>
            <w:tcW w:w="1201" w:type="dxa"/>
            <w:vAlign w:val="center"/>
          </w:tcPr>
          <w:p w14:paraId="70108EF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16 ÷ 23</w:t>
            </w:r>
          </w:p>
        </w:tc>
        <w:tc>
          <w:tcPr>
            <w:tcW w:w="1192" w:type="dxa"/>
            <w:vAlign w:val="center"/>
          </w:tcPr>
          <w:p w14:paraId="464AA55A"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23 ÷ 26</w:t>
            </w:r>
          </w:p>
        </w:tc>
        <w:tc>
          <w:tcPr>
            <w:tcW w:w="1247" w:type="dxa"/>
            <w:vAlign w:val="center"/>
          </w:tcPr>
          <w:p w14:paraId="38B649E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41" w:type="dxa"/>
            <w:vAlign w:val="center"/>
          </w:tcPr>
          <w:p w14:paraId="443F204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30</w:t>
            </w:r>
          </w:p>
        </w:tc>
      </w:tr>
    </w:tbl>
    <w:p w14:paraId="25A7C05B" w14:textId="77777777" w:rsidR="002D7A1C" w:rsidRPr="00791555" w:rsidRDefault="002D7A1C" w:rsidP="00D447F1">
      <w:pPr>
        <w:pStyle w:val="Zarkazkladnhotextu2"/>
        <w:spacing w:after="0" w:line="240" w:lineRule="auto"/>
        <w:ind w:left="0" w:firstLine="709"/>
        <w:jc w:val="both"/>
      </w:pPr>
    </w:p>
    <w:p w14:paraId="2F8B27D8" w14:textId="77777777"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14:paraId="08845992" w14:textId="77777777"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14:paraId="586CF02F" w14:textId="77777777" w:rsidR="00D82720" w:rsidRPr="00F70B52" w:rsidRDefault="00D82720" w:rsidP="00D447F1">
      <w:pPr>
        <w:jc w:val="both"/>
        <w:rPr>
          <w:lang w:val="en-GB"/>
        </w:rPr>
      </w:pPr>
    </w:p>
    <w:p w14:paraId="6647131D" w14:textId="77777777" w:rsidR="00D82720" w:rsidRPr="00F70B52" w:rsidRDefault="00311F4F" w:rsidP="00D447F1">
      <w:pPr>
        <w:jc w:val="both"/>
        <w:rPr>
          <w:lang w:val="en-GB"/>
        </w:rPr>
      </w:pPr>
      <w:r>
        <w:rPr>
          <w:lang w:val="en-GB"/>
        </w:rPr>
        <w:t>where</w:t>
      </w:r>
      <w:r w:rsidR="00D82720" w:rsidRPr="00F70B52">
        <w:rPr>
          <w:lang w:val="en-GB"/>
        </w:rPr>
        <w:tab/>
      </w:r>
      <w:r w:rsidR="00D82720" w:rsidRPr="00F70B52">
        <w:rPr>
          <w:i/>
          <w:lang w:val="en-GB"/>
        </w:rPr>
        <w:t>η</w:t>
      </w:r>
      <w:r w:rsidR="00D82720" w:rsidRPr="00F70B52">
        <w:rPr>
          <w:i/>
          <w:vertAlign w:val="subscript"/>
          <w:lang w:val="en-GB"/>
        </w:rPr>
        <w:t>G</w:t>
      </w:r>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14:paraId="4FB529C8" w14:textId="77777777"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14:paraId="7410CD39" w14:textId="77777777"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hydrogenerator</w:t>
      </w:r>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14:paraId="17FBE3E3" w14:textId="77777777" w:rsidR="00D82720" w:rsidRPr="00F70B52" w:rsidRDefault="00121C38" w:rsidP="00D82720">
      <w:pPr>
        <w:pStyle w:val="Zakladnytext"/>
        <w:spacing w:before="240" w:after="120"/>
        <w:ind w:firstLine="0"/>
        <w:rPr>
          <w:b/>
          <w:caps/>
          <w:sz w:val="28"/>
          <w:szCs w:val="28"/>
          <w:lang w:val="en-GB"/>
        </w:rPr>
      </w:pPr>
      <w:r>
        <w:rPr>
          <w:b/>
          <w:caps/>
          <w:sz w:val="28"/>
          <w:szCs w:val="28"/>
          <w:lang w:val="en-GB"/>
        </w:rPr>
        <w:t>conclusion</w:t>
      </w:r>
    </w:p>
    <w:p w14:paraId="35622F64" w14:textId="25000693" w:rsidR="00C4094F" w:rsidRDefault="00311F4F" w:rsidP="00C4094F">
      <w:pPr>
        <w:ind w:firstLine="709"/>
        <w:jc w:val="both"/>
        <w:rPr>
          <w:lang w:val="en-GB"/>
        </w:rPr>
      </w:pPr>
      <w:r>
        <w:rPr>
          <w:lang w:val="en"/>
        </w:rPr>
        <w:t xml:space="preserve">It should present </w:t>
      </w:r>
      <w:r w:rsidR="00D608BE">
        <w:rPr>
          <w:lang w:val="en"/>
        </w:rPr>
        <w:t>a summary</w:t>
      </w:r>
      <w:r>
        <w:rPr>
          <w:lang w:val="en"/>
        </w:rPr>
        <w:t xml:space="preserve"> of the major results of the work and deduct </w:t>
      </w:r>
      <w:r>
        <w:rPr>
          <w:rStyle w:val="alt-edited"/>
          <w:lang w:val="en"/>
        </w:rPr>
        <w:t>fulfillment of set goals</w:t>
      </w:r>
      <w:r>
        <w:rPr>
          <w:lang w:val="en"/>
        </w:rPr>
        <w:t>.</w:t>
      </w:r>
      <w:r w:rsidR="00C4094F" w:rsidRPr="00F70B52">
        <w:rPr>
          <w:lang w:val="en-GB"/>
        </w:rPr>
        <w:t xml:space="preserve"> </w:t>
      </w:r>
    </w:p>
    <w:p w14:paraId="259FA6D6" w14:textId="77777777" w:rsidR="002952B8" w:rsidRDefault="002952B8" w:rsidP="00D608BE">
      <w:pPr>
        <w:autoSpaceDE w:val="0"/>
        <w:autoSpaceDN w:val="0"/>
        <w:adjustRightInd w:val="0"/>
        <w:jc w:val="center"/>
        <w:rPr>
          <w:i/>
          <w:lang w:val="en"/>
        </w:rPr>
      </w:pPr>
    </w:p>
    <w:p w14:paraId="5301539E" w14:textId="5FDFBE98" w:rsidR="00D608BE" w:rsidRPr="00F30C18" w:rsidRDefault="00D608BE" w:rsidP="00D608BE">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14:paraId="12C0E473" w14:textId="1DB23D0B" w:rsidR="00D82720" w:rsidRDefault="00121C38" w:rsidP="00D82720">
      <w:pPr>
        <w:spacing w:before="240" w:after="120"/>
        <w:jc w:val="both"/>
        <w:rPr>
          <w:b/>
          <w:caps/>
          <w:sz w:val="28"/>
          <w:szCs w:val="28"/>
          <w:lang w:val="en-GB"/>
        </w:rPr>
      </w:pPr>
      <w:r>
        <w:rPr>
          <w:b/>
          <w:caps/>
          <w:sz w:val="28"/>
          <w:szCs w:val="28"/>
          <w:lang w:val="en-GB"/>
        </w:rPr>
        <w:t>literature</w:t>
      </w:r>
    </w:p>
    <w:p w14:paraId="59DC871E" w14:textId="34708B3B" w:rsidR="003C0F7D" w:rsidRPr="003C0F7D" w:rsidRDefault="003C0F7D" w:rsidP="003C0F7D">
      <w:pPr>
        <w:ind w:firstLine="709"/>
        <w:jc w:val="both"/>
        <w:rPr>
          <w:lang w:val="en"/>
        </w:rPr>
      </w:pPr>
      <w:r w:rsidRPr="003C0F7D">
        <w:rPr>
          <w:lang w:val="en"/>
        </w:rPr>
        <w:t>List only the literature used in the extended abstract.</w:t>
      </w:r>
    </w:p>
    <w:p w14:paraId="0D08D072" w14:textId="77777777"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14:paraId="26314F87" w14:textId="586931B4" w:rsidR="00874220" w:rsidRPr="00F70B52" w:rsidRDefault="00874220" w:rsidP="005452D5">
      <w:pPr>
        <w:autoSpaceDE w:val="0"/>
        <w:autoSpaceDN w:val="0"/>
        <w:adjustRightInd w:val="0"/>
        <w:spacing w:before="120"/>
        <w:jc w:val="both"/>
        <w:rPr>
          <w:rFonts w:eastAsia="TimesNewRomanPSMT"/>
          <w:color w:val="231F20"/>
          <w:lang w:val="en-GB" w:eastAsia="en-US"/>
        </w:rPr>
      </w:pPr>
      <w:r w:rsidRPr="00F70B52">
        <w:rPr>
          <w:rFonts w:eastAsia="TimesNewRomanPSMT"/>
          <w:color w:val="231F20"/>
          <w:lang w:val="en-GB" w:eastAsia="en-US"/>
        </w:rPr>
        <w:t xml:space="preserve">DADO, M., HNILICA, R., 2009. Control Measures for Minimizing exposure to Metal Working Fluid Aerosols. </w:t>
      </w:r>
      <w:r w:rsidRPr="008F7FD4">
        <w:rPr>
          <w:rFonts w:eastAsia="TimesNewRomanPSMT"/>
          <w:i/>
          <w:iCs/>
          <w:color w:val="231F20"/>
          <w:lang w:val="en-GB" w:eastAsia="en-US"/>
        </w:rPr>
        <w:t>J. Saf. Res. Appl</w:t>
      </w:r>
      <w:r w:rsidRPr="00F70B52">
        <w:rPr>
          <w:rFonts w:eastAsia="TimesNewRomanPSMT"/>
          <w:color w:val="231F20"/>
          <w:lang w:val="en-GB" w:eastAsia="en-US"/>
        </w:rPr>
        <w:t>.</w:t>
      </w:r>
      <w:r w:rsidR="008F7FD4">
        <w:rPr>
          <w:rFonts w:eastAsia="TimesNewRomanPSMT"/>
          <w:color w:val="231F20"/>
          <w:lang w:val="en-GB" w:eastAsia="en-US"/>
        </w:rPr>
        <w:t xml:space="preserve"> (3)</w:t>
      </w:r>
      <w:r w:rsidRPr="00F70B52">
        <w:rPr>
          <w:rFonts w:eastAsia="TimesNewRomanPSMT"/>
          <w:color w:val="231F20"/>
          <w:lang w:val="en-GB" w:eastAsia="en-US"/>
        </w:rPr>
        <w:t xml:space="preserve"> [online]. ISSN 1803-3687</w:t>
      </w:r>
      <w:r w:rsidR="008F7FD4">
        <w:rPr>
          <w:rFonts w:eastAsia="TimesNewRomanPSMT"/>
          <w:color w:val="231F20"/>
          <w:lang w:val="en-GB" w:eastAsia="en-US"/>
        </w:rPr>
        <w:t>.</w:t>
      </w:r>
      <w:r w:rsidRPr="00F70B52">
        <w:rPr>
          <w:rFonts w:eastAsia="TimesNewRomanPSMT"/>
          <w:color w:val="231F20"/>
          <w:lang w:val="en-GB" w:eastAsia="en-US"/>
        </w:rPr>
        <w:t xml:space="preserve"> Available in: &lt;http://www.bozpinfo.cz/josra/josra-03-2009/dado_hnilicaaerosoly.html&gt;.</w:t>
      </w:r>
    </w:p>
    <w:p w14:paraId="4CC4A4AA" w14:textId="77777777" w:rsidR="00874220" w:rsidRPr="00F70B52" w:rsidRDefault="00874220" w:rsidP="005452D5">
      <w:pPr>
        <w:autoSpaceDE w:val="0"/>
        <w:autoSpaceDN w:val="0"/>
        <w:adjustRightInd w:val="0"/>
        <w:spacing w:before="120"/>
        <w:jc w:val="both"/>
        <w:rPr>
          <w:rFonts w:eastAsia="TimesNewRomanPSMT"/>
          <w:color w:val="231F20"/>
          <w:lang w:val="en-GB" w:eastAsia="en-US"/>
        </w:rPr>
      </w:pPr>
      <w:r w:rsidRPr="002D7A1C">
        <w:rPr>
          <w:rFonts w:eastAsia="TimesNewRomanPSMT"/>
          <w:color w:val="231F20"/>
          <w:lang w:val="de-DE" w:eastAsia="en-US"/>
        </w:rPr>
        <w:t xml:space="preserve">DADO, M., SCHWARZ, M., HNILICA, R., 2013. </w:t>
      </w:r>
      <w:r w:rsidRPr="00F70B52">
        <w:rPr>
          <w:rFonts w:eastAsia="TimesNewRomanPSMT"/>
          <w:color w:val="231F20"/>
          <w:lang w:val="en-GB" w:eastAsia="en-US"/>
        </w:rPr>
        <w:t>Metalworking Fluid Mist Characterization for the Turning Process: a Preliminary Study. In:</w:t>
      </w:r>
      <w:r w:rsidRPr="00F70B52">
        <w:rPr>
          <w:lang w:val="en-GB"/>
        </w:rPr>
        <w:t xml:space="preserve"> Hudec, J. (ed.): </w:t>
      </w:r>
      <w:r w:rsidRPr="00F70B52">
        <w:rPr>
          <w:rFonts w:eastAsia="TimesNewRomanPSMT"/>
          <w:i/>
          <w:color w:val="231F20"/>
          <w:lang w:val="en-GB" w:eastAsia="en-US"/>
        </w:rPr>
        <w:t>7th Annual International 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14:paraId="2EEDF78F" w14:textId="77777777" w:rsidR="00874220" w:rsidRPr="00F70B52" w:rsidRDefault="001B70F6" w:rsidP="005452D5">
      <w:pPr>
        <w:spacing w:before="120"/>
        <w:jc w:val="both"/>
        <w:rPr>
          <w:lang w:val="en-GB"/>
        </w:rPr>
      </w:pPr>
      <w:r>
        <w:rPr>
          <w:lang w:val="en-GB"/>
        </w:rPr>
        <w:t>www page of</w:t>
      </w:r>
      <w:r w:rsidR="00874220" w:rsidRPr="00F70B52">
        <w:rPr>
          <w:lang w:val="en-GB"/>
        </w:rPr>
        <w:t xml:space="preserve"> LKT s.r.o., Trstená. [online] [cit. 2014-01-27]. </w:t>
      </w:r>
      <w:r w:rsidR="00121C38">
        <w:rPr>
          <w:lang w:val="en-GB"/>
        </w:rPr>
        <w:t>Available on</w:t>
      </w:r>
      <w:r w:rsidR="00874220" w:rsidRPr="00F70B52">
        <w:rPr>
          <w:lang w:val="en-GB"/>
        </w:rPr>
        <w:t>: &lt;http://www.lkttrstena.sk/fotogaleria/brezovica-2010&gt;.</w:t>
      </w:r>
    </w:p>
    <w:p w14:paraId="7A3EEEB4" w14:textId="77777777" w:rsidR="00874220" w:rsidRPr="00F70B52" w:rsidRDefault="00874220" w:rsidP="005452D5">
      <w:pPr>
        <w:spacing w:before="120"/>
        <w:jc w:val="both"/>
        <w:rPr>
          <w:lang w:val="en-GB"/>
        </w:rPr>
      </w:pPr>
      <w:r w:rsidRPr="00F70B52">
        <w:rPr>
          <w:lang w:val="en-GB"/>
        </w:rPr>
        <w:t xml:space="preserve">GELLERSTEDT, S., 2002. Operation of the Single-Grip Harvester: Motor-Sensory and Cognitive Work. </w:t>
      </w:r>
      <w:r w:rsidRPr="00F70B52">
        <w:rPr>
          <w:i/>
          <w:lang w:val="en-GB"/>
        </w:rPr>
        <w:t>International Journal of Forest Engineering</w:t>
      </w:r>
      <w:r w:rsidRPr="00F70B52">
        <w:rPr>
          <w:lang w:val="en-GB"/>
        </w:rPr>
        <w:t xml:space="preserve"> 13(2), pp 35-47. </w:t>
      </w:r>
      <w:r w:rsidRPr="00F70B52">
        <w:rPr>
          <w:bCs/>
          <w:lang w:val="en-GB"/>
        </w:rPr>
        <w:t>DOI:</w:t>
      </w:r>
      <w:r w:rsidRPr="00F70B52">
        <w:rPr>
          <w:lang w:val="en-GB"/>
        </w:rPr>
        <w:t>10.1080/14942119.2002.10702461.</w:t>
      </w:r>
    </w:p>
    <w:p w14:paraId="5B5873B6" w14:textId="0B2BD9AF" w:rsidR="00874220" w:rsidRPr="00F70B52" w:rsidRDefault="00874220" w:rsidP="005452D5">
      <w:pPr>
        <w:spacing w:before="120"/>
        <w:jc w:val="both"/>
        <w:rPr>
          <w:lang w:val="en-GB"/>
        </w:rPr>
      </w:pPr>
      <w:r w:rsidRPr="00F70B52">
        <w:rPr>
          <w:lang w:val="en-GB"/>
        </w:rPr>
        <w:lastRenderedPageBreak/>
        <w:t xml:space="preserve">LEHRER, P., SMETANKIN, A., POTAPOVA, T., 2000. Respiratory sinus arrhythmia biofeedback therapy for asthma a report of 20 unmedicated pediatric cases using the Smetaniknnnn method. </w:t>
      </w:r>
      <w:r w:rsidRPr="00F70B52">
        <w:rPr>
          <w:i/>
          <w:lang w:val="en-GB"/>
        </w:rPr>
        <w:t>Applied psychophysiology and biofeedback</w:t>
      </w:r>
      <w:r w:rsidRPr="00F70B52">
        <w:rPr>
          <w:lang w:val="en-GB"/>
        </w:rPr>
        <w:t xml:space="preserve"> 25</w:t>
      </w:r>
      <w:r w:rsidR="008F7FD4">
        <w:rPr>
          <w:lang w:val="en-GB"/>
        </w:rPr>
        <w:t>(</w:t>
      </w:r>
      <w:r w:rsidRPr="00F70B52">
        <w:rPr>
          <w:lang w:val="en-GB"/>
        </w:rPr>
        <w:t>3</w:t>
      </w:r>
      <w:r w:rsidR="008F7FD4">
        <w:rPr>
          <w:lang w:val="en-GB"/>
        </w:rPr>
        <w:t>)</w:t>
      </w:r>
      <w:r w:rsidRPr="00F70B52">
        <w:rPr>
          <w:lang w:val="en-GB"/>
        </w:rPr>
        <w:t>. Netherlands: Springer; 2000. pp. 193–200. ISSN 1573-3270.</w:t>
      </w:r>
    </w:p>
    <w:p w14:paraId="6B5C04ED" w14:textId="77777777" w:rsidR="00874220" w:rsidRPr="00F70B52" w:rsidRDefault="00874220" w:rsidP="005452D5">
      <w:pPr>
        <w:autoSpaceDE w:val="0"/>
        <w:autoSpaceDN w:val="0"/>
        <w:adjustRightInd w:val="0"/>
        <w:spacing w:before="120"/>
        <w:jc w:val="both"/>
        <w:rPr>
          <w:lang w:val="en-GB"/>
        </w:rPr>
      </w:pPr>
      <w:r w:rsidRPr="002D7A1C">
        <w:rPr>
          <w:lang w:val="de-DE"/>
        </w:rPr>
        <w:t xml:space="preserve">NESTORIUC, Y., MARTIN, A., RIEF, W., ANDRASIK, F., 2008. </w:t>
      </w:r>
      <w:r w:rsidRPr="00F70B52">
        <w:rPr>
          <w:lang w:val="en-GB"/>
        </w:rPr>
        <w:t xml:space="preserve">Biofeedback treatment for headache disorders a comprehensive efficacy review applied psychophysiology and biofeedback. </w:t>
      </w:r>
      <w:r w:rsidRPr="00F70B52">
        <w:rPr>
          <w:i/>
          <w:lang w:val="en-GB"/>
        </w:rPr>
        <w:t>Appl Psychophysiol Biofeedback</w:t>
      </w:r>
      <w:r w:rsidRPr="00F70B52">
        <w:rPr>
          <w:lang w:val="en-GB"/>
        </w:rPr>
        <w:t xml:space="preserve"> </w:t>
      </w:r>
      <w:r w:rsidRPr="00F70B52">
        <w:rPr>
          <w:rFonts w:eastAsiaTheme="minorHAnsi"/>
          <w:lang w:val="en-GB" w:eastAsia="en-US"/>
        </w:rPr>
        <w:t>(2008) 33:125–140 DOI 10.1007/s10484-008-9060-3.</w:t>
      </w:r>
    </w:p>
    <w:p w14:paraId="4435E2F2" w14:textId="77777777" w:rsidR="00874220" w:rsidRPr="00F70B52" w:rsidRDefault="00874220" w:rsidP="005452D5">
      <w:pPr>
        <w:spacing w:before="120"/>
        <w:jc w:val="both"/>
        <w:rPr>
          <w:lang w:val="en-GB"/>
        </w:rPr>
      </w:pPr>
      <w:r w:rsidRPr="00F70B52">
        <w:rPr>
          <w:lang w:val="en-GB"/>
        </w:rPr>
        <w:t xml:space="preserve">PURFÜRST, F. T., 2010. Learning Curves of Harvester Operators. </w:t>
      </w:r>
      <w:r w:rsidRPr="00F70B52">
        <w:rPr>
          <w:i/>
          <w:lang w:val="en-GB"/>
        </w:rPr>
        <w:t>Croatian Journal of Forest Engineering</w:t>
      </w:r>
      <w:r w:rsidRPr="00F70B52">
        <w:rPr>
          <w:lang w:val="en-GB"/>
        </w:rPr>
        <w:t xml:space="preserve"> 31(2), pp 89-97. ISSN 1845-5719</w:t>
      </w:r>
    </w:p>
    <w:p w14:paraId="625038A7" w14:textId="77777777"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J.</w:t>
      </w:r>
      <w:r w:rsidR="002B54B9" w:rsidRPr="00F70B52">
        <w:rPr>
          <w:lang w:val="en-GB"/>
        </w:rPr>
        <w:t>,</w:t>
      </w:r>
      <w:r w:rsidRPr="00F70B52">
        <w:rPr>
          <w:lang w:val="en-GB"/>
        </w:rPr>
        <w:t xml:space="preserve">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5D706B" w:rsidRPr="00F70B52">
        <w:rPr>
          <w:lang w:val="en-GB"/>
        </w:rPr>
        <w:t xml:space="preserve">In: Hudec, J. (ed.):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anniversary of</w:t>
      </w:r>
      <w:r w:rsidRPr="00F70B52">
        <w:rPr>
          <w:i/>
          <w:lang w:val="en-GB"/>
        </w:rPr>
        <w:t xml:space="preserve"> FEVT Zvolen. </w:t>
      </w:r>
      <w:r w:rsidR="001B70F6">
        <w:rPr>
          <w:lang w:val="en-GB"/>
        </w:rPr>
        <w:t>Technical university in Zvolen</w:t>
      </w:r>
      <w:r w:rsidRPr="00F70B52">
        <w:rPr>
          <w:lang w:val="en-GB"/>
        </w:rPr>
        <w:t>, Zvolen, 2006, s. 190 – 197, ISBN 80-228-1648-5.</w:t>
      </w:r>
      <w:r w:rsidRPr="00F70B52">
        <w:rPr>
          <w:lang w:val="en-GB"/>
        </w:rPr>
        <w:tab/>
      </w:r>
      <w:r w:rsidRPr="00F70B52">
        <w:rPr>
          <w:lang w:val="en-GB"/>
        </w:rPr>
        <w:tab/>
        <w:t xml:space="preserve"> </w:t>
      </w:r>
    </w:p>
    <w:p w14:paraId="3A9A373C" w14:textId="77777777" w:rsidR="00D82720" w:rsidRPr="00F70B52" w:rsidRDefault="00D82720" w:rsidP="00D82720">
      <w:pPr>
        <w:jc w:val="both"/>
        <w:rPr>
          <w:lang w:val="en-GB"/>
        </w:rPr>
      </w:pPr>
    </w:p>
    <w:p w14:paraId="14F3DCCE" w14:textId="77777777" w:rsidR="00D82720" w:rsidRPr="00F70B52" w:rsidRDefault="00D82720" w:rsidP="00D82720">
      <w:pPr>
        <w:autoSpaceDE w:val="0"/>
        <w:autoSpaceDN w:val="0"/>
        <w:adjustRightInd w:val="0"/>
        <w:jc w:val="both"/>
        <w:rPr>
          <w:i/>
          <w:iCs/>
          <w:lang w:val="en-GB"/>
        </w:rPr>
      </w:pPr>
    </w:p>
    <w:p w14:paraId="6A6A92B1" w14:textId="77777777"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14:paraId="158A7190" w14:textId="77777777"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20"/>
    <w:rsid w:val="00121C38"/>
    <w:rsid w:val="00136BB0"/>
    <w:rsid w:val="001631C5"/>
    <w:rsid w:val="001B70F6"/>
    <w:rsid w:val="001C00AF"/>
    <w:rsid w:val="002952B8"/>
    <w:rsid w:val="002B54B9"/>
    <w:rsid w:val="002D7A1C"/>
    <w:rsid w:val="00311F4F"/>
    <w:rsid w:val="0031762C"/>
    <w:rsid w:val="003C0F7D"/>
    <w:rsid w:val="004266A9"/>
    <w:rsid w:val="00467A48"/>
    <w:rsid w:val="004D4FBC"/>
    <w:rsid w:val="004F30DF"/>
    <w:rsid w:val="005068F9"/>
    <w:rsid w:val="00517E7A"/>
    <w:rsid w:val="00532AA0"/>
    <w:rsid w:val="005452D5"/>
    <w:rsid w:val="005D706B"/>
    <w:rsid w:val="00616E7D"/>
    <w:rsid w:val="00631B14"/>
    <w:rsid w:val="00660396"/>
    <w:rsid w:val="006638F4"/>
    <w:rsid w:val="0075139C"/>
    <w:rsid w:val="00791555"/>
    <w:rsid w:val="007F1400"/>
    <w:rsid w:val="00874220"/>
    <w:rsid w:val="0087650C"/>
    <w:rsid w:val="008F7FD4"/>
    <w:rsid w:val="009233F9"/>
    <w:rsid w:val="00936841"/>
    <w:rsid w:val="009657CE"/>
    <w:rsid w:val="009D6411"/>
    <w:rsid w:val="00A60DFF"/>
    <w:rsid w:val="00AD65CF"/>
    <w:rsid w:val="00B02432"/>
    <w:rsid w:val="00C05B80"/>
    <w:rsid w:val="00C23B16"/>
    <w:rsid w:val="00C36D54"/>
    <w:rsid w:val="00C4094F"/>
    <w:rsid w:val="00CF36E7"/>
    <w:rsid w:val="00D447F1"/>
    <w:rsid w:val="00D528ED"/>
    <w:rsid w:val="00D608BE"/>
    <w:rsid w:val="00D82720"/>
    <w:rsid w:val="00DC05E4"/>
    <w:rsid w:val="00DD6DF8"/>
    <w:rsid w:val="00E62336"/>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7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Textzstupnhosymbolu">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Textzstupnhosymbolu">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extLst xmlns:c16r2="http://schemas.microsoft.com/office/drawing/2015/06/chart">
            <c:ext xmlns:c16="http://schemas.microsoft.com/office/drawing/2014/chart" uri="{C3380CC4-5D6E-409C-BE32-E72D297353CC}">
              <c16:uniqueId val="{00000001-D368-4079-AEDE-EEABFD7AF8B6}"/>
            </c:ext>
          </c:extLst>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extLst xmlns:c16r2="http://schemas.microsoft.com/office/drawing/2015/06/chart">
            <c:ext xmlns:c16="http://schemas.microsoft.com/office/drawing/2014/chart" uri="{C3380CC4-5D6E-409C-BE32-E72D297353CC}">
              <c16:uniqueId val="{00000002-D368-4079-AEDE-EEABFD7AF8B6}"/>
            </c:ext>
          </c:extLst>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extLst xmlns:c16r2="http://schemas.microsoft.com/office/drawing/2015/06/chart">
            <c:ext xmlns:c16="http://schemas.microsoft.com/office/drawing/2014/chart" uri="{C3380CC4-5D6E-409C-BE32-E72D297353CC}">
              <c16:uniqueId val="{00000003-D368-4079-AEDE-EEABFD7AF8B6}"/>
            </c:ext>
          </c:extLst>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extLst xmlns:c16r2="http://schemas.microsoft.com/office/drawing/2015/06/chart">
            <c:ext xmlns:c16="http://schemas.microsoft.com/office/drawing/2014/chart" uri="{C3380CC4-5D6E-409C-BE32-E72D297353CC}">
              <c16:uniqueId val="{00000004-D368-4079-AEDE-EEABFD7AF8B6}"/>
            </c:ext>
          </c:extLst>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extLst xmlns:c16r2="http://schemas.microsoft.com/office/drawing/2015/06/chart">
            <c:ext xmlns:c16="http://schemas.microsoft.com/office/drawing/2014/chart" uri="{C3380CC4-5D6E-409C-BE32-E72D297353CC}">
              <c16:uniqueId val="{00000005-D368-4079-AEDE-EEABFD7AF8B6}"/>
            </c:ext>
          </c:extLst>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extLst xmlns:c16r2="http://schemas.microsoft.com/office/drawing/2015/06/chart">
            <c:ext xmlns:c16="http://schemas.microsoft.com/office/drawing/2014/chart" uri="{C3380CC4-5D6E-409C-BE32-E72D297353CC}">
              <c16:uniqueId val="{00000006-D368-4079-AEDE-EEABFD7AF8B6}"/>
            </c:ext>
          </c:extLst>
        </c:ser>
        <c:dLbls>
          <c:showLegendKey val="0"/>
          <c:showVal val="0"/>
          <c:showCatName val="0"/>
          <c:showSerName val="0"/>
          <c:showPercent val="0"/>
          <c:showBubbleSize val="0"/>
        </c:dLbls>
        <c:axId val="92347392"/>
        <c:axId val="92353664"/>
      </c:scatterChart>
      <c:valAx>
        <c:axId val="92347392"/>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kW</a:t>
                </a:r>
                <a:r>
                  <a:rPr lang="en-US" sz="1200" b="0" i="0" strike="noStrike">
                    <a:solidFill>
                      <a:srgbClr val="000000"/>
                    </a:solidFill>
                    <a:latin typeface="Times New Roman"/>
                    <a:cs typeface="Times New Roman"/>
                  </a:rPr>
                  <a:t>)</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92353664"/>
        <c:crosses val="autoZero"/>
        <c:crossBetween val="midCat"/>
      </c:valAx>
      <c:valAx>
        <c:axId val="92353664"/>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t</a:t>
                </a:r>
                <a:r>
                  <a:rPr lang="en-US" sz="1200" b="0" i="0" strike="noStrike">
                    <a:solidFill>
                      <a:srgbClr val="000000"/>
                    </a:solidFill>
                    <a:latin typeface="Times New Roman"/>
                    <a:cs typeface="Times New Roman"/>
                  </a:rPr>
                  <a: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92347392"/>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D346-65B7-4B14-AAF9-BCF4633C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jancikova</cp:lastModifiedBy>
  <cp:revision>2</cp:revision>
  <dcterms:created xsi:type="dcterms:W3CDTF">2021-03-16T11:36:00Z</dcterms:created>
  <dcterms:modified xsi:type="dcterms:W3CDTF">2021-03-16T11:36:00Z</dcterms:modified>
</cp:coreProperties>
</file>